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WPI</w:t>
      </w:r>
      <w:r>
        <w:t xml:space="preserve"> </w:t>
      </w:r>
      <w:r>
        <w:t xml:space="preserve">Faculty</w:t>
      </w:r>
      <w:r>
        <w:t xml:space="preserve"> </w:t>
      </w:r>
      <w:r>
        <w:t xml:space="preserve">Handbook:</w:t>
      </w:r>
      <w:r>
        <w:t xml:space="preserve"> </w:t>
      </w:r>
      <w:r>
        <w:t xml:space="preserve">Chapter</w:t>
      </w:r>
      <w:r>
        <w:t xml:space="preserve"> </w:t>
      </w:r>
      <w:r>
        <w:t xml:space="preserve">Three</w:t>
      </w:r>
      <w:r>
        <w:t xml:space="preserve"> </w:t>
      </w:r>
      <w:r>
        <w:t xml:space="preserve">-</w:t>
      </w:r>
      <w:r>
        <w:t xml:space="preserve"> </w:t>
      </w:r>
      <w:r>
        <w:t xml:space="preserve">Tenure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"1-5" \h \z \u</w:instrText>
            <w:fldChar w:fldCharType="separate"/>
            <w:fldChar w:fldCharType="end"/>
          </w:r>
        </w:p>
      </w:sdtContent>
    </w:sdt>
    <w:p>
      <w:r>
        <w:pict>
          <v:rect style="width:0;height:1.5pt" o:hralign="center" o:hrstd="t" o:hr="t"/>
        </w:pict>
      </w:r>
    </w:p>
    <w:p>
      <w:pPr>
        <w:pStyle w:val="FirstParagraph"/>
      </w:pPr>
    </w:p>
    <w:p>
      <w:pPr>
        <w:pStyle w:val="Heading1"/>
      </w:pPr>
      <w:bookmarkStart w:id="20" w:name="chapter-3"/>
      <w:r>
        <w:t xml:space="preserve">Chapter Three - Tenure</w:t>
      </w:r>
      <w:bookmarkEnd w:id="20"/>
    </w:p>
    <w:p>
      <w:pPr>
        <w:pStyle w:val="FirstParagraph"/>
      </w:pPr>
      <w:r>
        <w:t xml:space="preserve">As a consequence of the primary obligation of members of the academic</w:t>
      </w:r>
      <w:r>
        <w:t xml:space="preserve"> </w:t>
      </w:r>
      <w:r>
        <w:t xml:space="preserve">community to pursue truth, the tenure concept has evolved for the</w:t>
      </w:r>
      <w:r>
        <w:t xml:space="preserve"> </w:t>
      </w:r>
      <w:r>
        <w:t xml:space="preserve">protection of individuals from internal and external community</w:t>
      </w:r>
      <w:r>
        <w:t xml:space="preserve"> </w:t>
      </w:r>
      <w:r>
        <w:t xml:space="preserve">pressures.</w:t>
      </w:r>
    </w:p>
    <w:p>
      <w:pPr>
        <w:pStyle w:val="Heading2"/>
      </w:pPr>
      <w:bookmarkStart w:id="21" w:name="chapter-3-section-1"/>
      <w:r>
        <w:t xml:space="preserve">1. Eligibility and Conditions For Tenure, Probationary Periods, and Mandatory Tenure Reviews</w:t>
      </w:r>
      <w:bookmarkEnd w:id="21"/>
    </w:p>
    <w:p>
      <w:pPr>
        <w:pStyle w:val="FirstParagraph"/>
      </w:pPr>
      <w:r>
        <w:t xml:space="preserve">Tenure will be granted only in one of the following manners:</w:t>
      </w:r>
    </w:p>
    <w:p>
      <w:pPr>
        <w:numPr>
          <w:ilvl w:val="0"/>
          <w:numId w:val="1001"/>
        </w:numPr>
      </w:pPr>
      <w:r>
        <w:t xml:space="preserve">With respect to probationary tenure-track faculty members, and with</w:t>
      </w:r>
      <w:r>
        <w:t xml:space="preserve"> </w:t>
      </w:r>
      <w:r>
        <w:t xml:space="preserve">respect to candidates for initial appointment with tenure who</w:t>
      </w:r>
      <w:r>
        <w:t xml:space="preserve"> </w:t>
      </w:r>
      <w:r>
        <w:t xml:space="preserve">undergo a formal review conducted by the Committee on Tenure and</w:t>
      </w:r>
      <w:r>
        <w:t xml:space="preserve"> </w:t>
      </w:r>
      <w:r>
        <w:t xml:space="preserve">Academic Freedom (CTAF), with the results communicated to the</w:t>
      </w:r>
      <w:r>
        <w:t xml:space="preserve"> </w:t>
      </w:r>
      <w:r>
        <w:t xml:space="preserve">Provost, and after a positive vote by the Board of Trustees.</w:t>
      </w:r>
    </w:p>
    <w:p>
      <w:pPr>
        <w:numPr>
          <w:ilvl w:val="0"/>
          <w:numId w:val="1001"/>
        </w:numPr>
      </w:pPr>
      <w:r>
        <w:t xml:space="preserve">With respect to candidates for initial appointment-with-tenure who</w:t>
      </w:r>
      <w:r>
        <w:t xml:space="preserve"> </w:t>
      </w:r>
      <w:r>
        <w:t xml:space="preserve">do not undergo review by the Committee on Tenure and Academic</w:t>
      </w:r>
      <w:r>
        <w:t xml:space="preserve"> </w:t>
      </w:r>
      <w:r>
        <w:t xml:space="preserve">Freedom (CTAF), after a positive vote by the Board of Trustees.</w:t>
      </w:r>
    </w:p>
    <w:p>
      <w:pPr>
        <w:pStyle w:val="FirstParagraph"/>
      </w:pPr>
      <w:r>
        <w:t xml:space="preserve">Only full time tenure-track faculty members are eligible for tenure.</w:t>
      </w:r>
    </w:p>
    <w:p>
      <w:pPr>
        <w:pStyle w:val="BodyText"/>
      </w:pPr>
      <w:r>
        <w:t xml:space="preserve">The probationary period of a tenure-track faculty member refers to the</w:t>
      </w:r>
      <w:r>
        <w:t xml:space="preserve"> </w:t>
      </w:r>
      <w:r>
        <w:t xml:space="preserve">total time served at WPI as a tenure-track faculty member regardless</w:t>
      </w:r>
      <w:r>
        <w:t xml:space="preserve"> </w:t>
      </w:r>
      <w:r>
        <w:t xml:space="preserve">of whether the tenure clock is running or is stopped, including time</w:t>
      </w:r>
      <w:r>
        <w:t xml:space="preserve"> </w:t>
      </w:r>
      <w:r>
        <w:t xml:space="preserve">served during the academic year of the tenure review. (For more</w:t>
      </w:r>
      <w:r>
        <w:t xml:space="preserve"> </w:t>
      </w:r>
      <w:r>
        <w:t xml:space="preserve">detail on the tenure clock, see</w:t>
      </w:r>
      <w:r>
        <w:t xml:space="preserve"> </w:t>
      </w:r>
      <w:hyperlink r:id="rId22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2</w:t>
        </w:r>
      </w:hyperlink>
      <w:r>
        <w:t xml:space="preserve">.)</w:t>
      </w:r>
    </w:p>
    <w:p>
      <w:pPr>
        <w:pStyle w:val="BodyText"/>
      </w:pPr>
      <w:r>
        <w:t xml:space="preserve">Each Assistant Professor and Assistant Professor of Teaching receives</w:t>
      </w:r>
      <w:r>
        <w:t xml:space="preserve"> </w:t>
      </w:r>
      <w:r>
        <w:t xml:space="preserve">a combined review for tenure and promotion to the associate rank in</w:t>
      </w:r>
      <w:r>
        <w:t xml:space="preserve"> </w:t>
      </w:r>
      <w:r>
        <w:t xml:space="preserve">their respective tracks. This is because the tenure criteria in each</w:t>
      </w:r>
      <w:r>
        <w:t xml:space="preserve"> </w:t>
      </w:r>
      <w:r>
        <w:t xml:space="preserve">track are the same as the criteria for promotion to the associate rank</w:t>
      </w:r>
      <w:r>
        <w:t xml:space="preserve"> </w:t>
      </w:r>
      <w:r>
        <w:t xml:space="preserve">in the corresponding track (see</w:t>
      </w:r>
      <w:r>
        <w:t xml:space="preserve"> </w:t>
      </w:r>
      <w:hyperlink r:id="rId23">
        <w:r>
          <w:rPr>
            <w:rStyle w:val="Hyperlink"/>
          </w:rPr>
          <w:t xml:space="preserve">Chapter Four: Promotions,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1.a.i</w:t>
        </w:r>
      </w:hyperlink>
      <w:r>
        <w:t xml:space="preserve">).</w:t>
      </w:r>
    </w:p>
    <w:p>
      <w:pPr>
        <w:pStyle w:val="BodyText"/>
      </w:pPr>
      <w:r>
        <w:t xml:space="preserve">A mandatory tenure review is conducted for all tenure-track</w:t>
      </w:r>
      <w:r>
        <w:t xml:space="preserve"> </w:t>
      </w:r>
      <w:r>
        <w:t xml:space="preserve">probationary faculty members in the academic year immediately after</w:t>
      </w:r>
      <w:r>
        <w:t xml:space="preserve"> </w:t>
      </w:r>
      <w:r>
        <w:t xml:space="preserve">they have accumulated five years on the tenure clock (unless early</w:t>
      </w:r>
      <w:r>
        <w:t xml:space="preserve"> </w:t>
      </w:r>
      <w:r>
        <w:t xml:space="preserve">tenure was previously granted following the early tenure process</w:t>
      </w:r>
      <w:r>
        <w:t xml:space="preserve"> </w:t>
      </w:r>
      <w:r>
        <w:t xml:space="preserve">described in</w:t>
      </w:r>
      <w:r>
        <w:t xml:space="preserve"> </w:t>
      </w:r>
      <w:hyperlink r:id="rId24">
        <w:r>
          <w:rPr>
            <w:rStyle w:val="Hyperlink"/>
          </w:rPr>
          <w:t xml:space="preserve">Section 2.c</w:t>
        </w:r>
      </w:hyperlink>
      <w:r>
        <w:t xml:space="preserve">). As</w:t>
      </w:r>
      <w:r>
        <w:t xml:space="preserve"> </w:t>
      </w:r>
      <w:r>
        <w:t xml:space="preserve">a result of the mandatory tenure review, either tenure (and, in the</w:t>
      </w:r>
      <w:r>
        <w:t xml:space="preserve"> </w:t>
      </w:r>
      <w:r>
        <w:t xml:space="preserve">cases of assistant professors and assistant professors of teaching,</w:t>
      </w:r>
      <w:r>
        <w:t xml:space="preserve"> </w:t>
      </w:r>
      <w:r>
        <w:t xml:space="preserve">promotion to the corresponding associate rank) will be granted or a</w:t>
      </w:r>
      <w:r>
        <w:t xml:space="preserve"> </w:t>
      </w:r>
      <w:r>
        <w:t xml:space="preserve">terminal appointment will be offered for only one additional academic</w:t>
      </w:r>
      <w:r>
        <w:t xml:space="preserve"> </w:t>
      </w:r>
      <w:r>
        <w:t xml:space="preserve">year beyond the academic year of the tenure review.</w:t>
      </w:r>
    </w:p>
    <w:p>
      <w:pPr>
        <w:pStyle w:val="BodyText"/>
      </w:pPr>
      <w:r>
        <w:t xml:space="preserve">Normally the mandatory tenure review will occur during the sixth year</w:t>
      </w:r>
      <w:r>
        <w:t xml:space="preserve"> </w:t>
      </w:r>
      <w:r>
        <w:t xml:space="preserve">of the probationary period, but it may be scheduled sooner in the</w:t>
      </w:r>
      <w:r>
        <w:t xml:space="preserve"> </w:t>
      </w:r>
      <w:r>
        <w:t xml:space="preserve">probationary period because of credit granted on the tenure clock for</w:t>
      </w:r>
      <w:r>
        <w:t xml:space="preserve"> </w:t>
      </w:r>
      <w:r>
        <w:t xml:space="preserve">previous full time service at the assistant rank or higher at WPI or</w:t>
      </w:r>
      <w:r>
        <w:t xml:space="preserve"> </w:t>
      </w:r>
      <w:r>
        <w:t xml:space="preserve">at other academic institutions at the time of the initial probationary</w:t>
      </w:r>
      <w:r>
        <w:t xml:space="preserve"> </w:t>
      </w:r>
      <w:r>
        <w:t xml:space="preserve">appointment, or it may be scheduled later in the probationary period</w:t>
      </w:r>
      <w:r>
        <w:t xml:space="preserve"> </w:t>
      </w:r>
      <w:r>
        <w:t xml:space="preserve">if the tenure clock is stopped during the probationary period.</w:t>
      </w:r>
    </w:p>
    <w:p>
      <w:pPr>
        <w:pStyle w:val="BodyText"/>
      </w:pPr>
      <w:r>
        <w:t xml:space="preserve">The minimum and maximum durations of probationary appointments prior</w:t>
      </w:r>
      <w:r>
        <w:t xml:space="preserve"> </w:t>
      </w:r>
      <w:r>
        <w:t xml:space="preserve">to tenure reviews are set as follows:</w:t>
      </w:r>
    </w:p>
    <w:p>
      <w:pPr>
        <w:numPr>
          <w:ilvl w:val="0"/>
          <w:numId w:val="1002"/>
        </w:numPr>
      </w:pPr>
      <w:r>
        <w:t xml:space="preserve">The minimum time served on a probationary appointment at the</w:t>
      </w:r>
      <w:r>
        <w:t xml:space="preserve"> </w:t>
      </w:r>
      <w:r>
        <w:t xml:space="preserve">assistant rank in either the dual-mission or teaching-mission tenure</w:t>
      </w:r>
      <w:r>
        <w:t xml:space="preserve"> </w:t>
      </w:r>
      <w:r>
        <w:t xml:space="preserve">track prior to the tenure review is three years because Assistant</w:t>
      </w:r>
      <w:r>
        <w:t xml:space="preserve"> </w:t>
      </w:r>
      <w:r>
        <w:t xml:space="preserve">Professors and Assistant Professors of Teaching each receive a</w:t>
      </w:r>
      <w:r>
        <w:t xml:space="preserve"> </w:t>
      </w:r>
      <w:r>
        <w:t xml:space="preserve">combined tenure and promotion review and must have completed at</w:t>
      </w:r>
      <w:r>
        <w:t xml:space="preserve"> </w:t>
      </w:r>
      <w:r>
        <w:t xml:space="preserve">least three years in the same track prior to review for promotion to</w:t>
      </w:r>
      <w:r>
        <w:t xml:space="preserve"> </w:t>
      </w:r>
      <w:r>
        <w:t xml:space="preserve">the associate rank (see</w:t>
      </w:r>
      <w:r>
        <w:t xml:space="preserve"> </w:t>
      </w:r>
      <w:hyperlink r:id="rId23">
        <w:r>
          <w:rPr>
            <w:rStyle w:val="Hyperlink"/>
          </w:rPr>
          <w:t xml:space="preserve">Chapter Four: Promotions,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1.a.i</w:t>
        </w:r>
      </w:hyperlink>
      <w:r>
        <w:t xml:space="preserve">).</w:t>
      </w:r>
    </w:p>
    <w:p>
      <w:pPr>
        <w:numPr>
          <w:ilvl w:val="0"/>
          <w:numId w:val="1002"/>
        </w:numPr>
      </w:pPr>
      <w:r>
        <w:t xml:space="preserve">The minimum time served on a probationary appointment at the</w:t>
      </w:r>
      <w:r>
        <w:t xml:space="preserve"> </w:t>
      </w:r>
      <w:r>
        <w:t xml:space="preserve">associate or full rank in either the dual-mission or</w:t>
      </w:r>
      <w:r>
        <w:t xml:space="preserve"> </w:t>
      </w:r>
      <w:r>
        <w:t xml:space="preserve">teaching-mission tenure track prior to tenure review is two years</w:t>
      </w:r>
      <w:r>
        <w:t xml:space="preserve"> </w:t>
      </w:r>
      <w:r>
        <w:t xml:space="preserve">because no probationary faculty member may serve less than two years</w:t>
      </w:r>
      <w:r>
        <w:t xml:space="preserve"> </w:t>
      </w:r>
      <w:r>
        <w:t xml:space="preserve">on the tenure clock prior to tenure review.</w:t>
      </w:r>
    </w:p>
    <w:p>
      <w:pPr>
        <w:numPr>
          <w:ilvl w:val="0"/>
          <w:numId w:val="1002"/>
        </w:numPr>
      </w:pPr>
      <w:r>
        <w:t xml:space="preserve">The maximum time served on a probationary appointment for all</w:t>
      </w:r>
      <w:r>
        <w:t xml:space="preserve"> </w:t>
      </w:r>
      <w:r>
        <w:t xml:space="preserve">faculty members is limited by the requirement that the mandatory</w:t>
      </w:r>
      <w:r>
        <w:t xml:space="preserve"> </w:t>
      </w:r>
      <w:r>
        <w:t xml:space="preserve">tenure review must be conducted in the academic year immediately</w:t>
      </w:r>
      <w:r>
        <w:t xml:space="preserve"> </w:t>
      </w:r>
      <w:r>
        <w:t xml:space="preserve">after five years have been accumulated on the tenure clock. The</w:t>
      </w:r>
      <w:r>
        <w:t xml:space="preserve"> </w:t>
      </w:r>
      <w:r>
        <w:t xml:space="preserve">probationary appointment continues for one additional year during</w:t>
      </w:r>
      <w:r>
        <w:t xml:space="preserve"> </w:t>
      </w:r>
      <w:r>
        <w:t xml:space="preserve">the academic year of the mandatory tenure review.</w:t>
      </w:r>
    </w:p>
    <w:p>
      <w:pPr>
        <w:pStyle w:val="FirstParagraph"/>
      </w:pPr>
      <w:r>
        <w:t xml:space="preserve">The number of years credited on the tenure clock and the academic year</w:t>
      </w:r>
      <w:r>
        <w:t xml:space="preserve"> </w:t>
      </w:r>
      <w:r>
        <w:t xml:space="preserve">of the scheduled mandatory tenure review accounting for all time</w:t>
      </w:r>
      <w:r>
        <w:t xml:space="preserve"> </w:t>
      </w:r>
      <w:r>
        <w:t xml:space="preserve">credited on the tenure clock must be specified in the letter of the</w:t>
      </w:r>
      <w:r>
        <w:t xml:space="preserve"> </w:t>
      </w:r>
      <w:r>
        <w:t xml:space="preserve">initial tenure-track appointment, and it must be in the possession of</w:t>
      </w:r>
      <w:r>
        <w:t xml:space="preserve"> </w:t>
      </w:r>
      <w:r>
        <w:t xml:space="preserve">both WPI and the faculty member before the appointment is consummated</w:t>
      </w:r>
      <w:r>
        <w:t xml:space="preserve"> </w:t>
      </w:r>
      <w:r>
        <w:t xml:space="preserve">(see</w:t>
      </w:r>
      <w:r>
        <w:t xml:space="preserve"> </w:t>
      </w:r>
      <w:hyperlink r:id="rId25">
        <w:r>
          <w:rPr>
            <w:rStyle w:val="Hyperlink"/>
          </w:rPr>
          <w:t xml:space="preserve">Chapter Two: Academic Appointments,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3.a.i</w:t>
        </w:r>
      </w:hyperlink>
      <w:r>
        <w:t xml:space="preserve">).</w:t>
      </w:r>
    </w:p>
    <w:p>
      <w:pPr>
        <w:pStyle w:val="Heading2"/>
      </w:pPr>
      <w:bookmarkStart w:id="26" w:name="chapter-3-section-2"/>
      <w:r>
        <w:t xml:space="preserve">2. The Tenure Clock</w:t>
      </w:r>
      <w:bookmarkEnd w:id="26"/>
    </w:p>
    <w:p>
      <w:pPr>
        <w:pStyle w:val="FirstParagraph"/>
      </w:pPr>
      <w:r>
        <w:t xml:space="preserve">The tenure clock measures the five years that must be accumulated</w:t>
      </w:r>
      <w:r>
        <w:t xml:space="preserve"> </w:t>
      </w:r>
      <w:r>
        <w:t xml:space="preserve">prior to the academic year of the mandatory tenure review. Time is</w:t>
      </w:r>
      <w:r>
        <w:t xml:space="preserve"> </w:t>
      </w:r>
      <w:r>
        <w:t xml:space="preserve">accumulated on the tenure clock in only two ways: through actual time</w:t>
      </w:r>
      <w:r>
        <w:t xml:space="preserve"> </w:t>
      </w:r>
      <w:r>
        <w:t xml:space="preserve">served as a tenure-track faculty member at WPI while the tenure clock</w:t>
      </w:r>
      <w:r>
        <w:t xml:space="preserve"> </w:t>
      </w:r>
      <w:r>
        <w:t xml:space="preserve">is running; and through time credited on the tenure clock at the time</w:t>
      </w:r>
      <w:r>
        <w:t xml:space="preserve"> </w:t>
      </w:r>
      <w:r>
        <w:t xml:space="preserve">of the initial tenure-track probationary appointment.</w:t>
      </w:r>
    </w:p>
    <w:p>
      <w:pPr>
        <w:pStyle w:val="Heading3"/>
      </w:pPr>
      <w:bookmarkStart w:id="27" w:name="a.-starting-and-running-the-tenure-clock"/>
      <w:r>
        <w:t xml:space="preserve">a. Starting and Running the Tenure Clock</w:t>
      </w:r>
      <w:bookmarkEnd w:id="27"/>
    </w:p>
    <w:p>
      <w:pPr>
        <w:pStyle w:val="FirstParagraph"/>
      </w:pPr>
      <w:r>
        <w:t xml:space="preserve">A tenure-track faculty member's tenure clock begins running on the</w:t>
      </w:r>
      <w:r>
        <w:t xml:space="preserve"> </w:t>
      </w:r>
      <w:r>
        <w:t xml:space="preserve">July 1 closest to the starting date of the initial probationary</w:t>
      </w:r>
      <w:r>
        <w:t xml:space="preserve"> </w:t>
      </w:r>
      <w:r>
        <w:t xml:space="preserve">appointment, and normally runs continuously from its starting moment,</w:t>
      </w:r>
      <w:r>
        <w:t xml:space="preserve"> </w:t>
      </w:r>
      <w:r>
        <w:t xml:space="preserve">except as noted in the following section under conditions for stopping</w:t>
      </w:r>
      <w:r>
        <w:t xml:space="preserve"> </w:t>
      </w:r>
      <w:r>
        <w:t xml:space="preserve">the tenure clock.</w:t>
      </w:r>
    </w:p>
    <w:p>
      <w:pPr>
        <w:pStyle w:val="BodyText"/>
      </w:pPr>
      <w:r>
        <w:t xml:space="preserve">At the time of the initial probationary appointment, credit may be</w:t>
      </w:r>
      <w:r>
        <w:t xml:space="preserve"> </w:t>
      </w:r>
      <w:r>
        <w:t xml:space="preserve">given on the tenure clock for previous full-time service at the</w:t>
      </w:r>
      <w:r>
        <w:t xml:space="preserve"> </w:t>
      </w:r>
      <w:r>
        <w:t xml:space="preserve">assistant rank or higher at WPI or at other academic institutions.</w:t>
      </w:r>
    </w:p>
    <w:p>
      <w:pPr>
        <w:pStyle w:val="BodyText"/>
      </w:pPr>
      <w:r>
        <w:t xml:space="preserve">For consistency with the minimum duration of probationary periods</w:t>
      </w:r>
      <w:r>
        <w:t xml:space="preserve"> </w:t>
      </w:r>
      <w:r>
        <w:t xml:space="preserve">permitted prior to tenure review (as described in</w:t>
      </w:r>
      <w:r>
        <w:t xml:space="preserve"> </w:t>
      </w:r>
      <w:hyperlink r:id="rId25">
        <w:r>
          <w:rPr>
            <w:rStyle w:val="Hyperlink"/>
          </w:rPr>
          <w:t xml:space="preserve">Chapter Two: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Academic Appointments,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3.a.i</w:t>
        </w:r>
      </w:hyperlink>
      <w:r>
        <w:t xml:space="preserve">), probationary faculty</w:t>
      </w:r>
      <w:r>
        <w:t xml:space="preserve"> </w:t>
      </w:r>
      <w:r>
        <w:t xml:space="preserve">members at the assistant rank in either tenure track may be given no</w:t>
      </w:r>
      <w:r>
        <w:t xml:space="preserve"> </w:t>
      </w:r>
      <w:r>
        <w:t xml:space="preserve">more than two years of credit on the tenure clock at the time of the</w:t>
      </w:r>
      <w:r>
        <w:t xml:space="preserve"> </w:t>
      </w:r>
      <w:r>
        <w:t xml:space="preserve">initial probationary appointment, and probationary faculty members at</w:t>
      </w:r>
      <w:r>
        <w:t xml:space="preserve"> </w:t>
      </w:r>
      <w:r>
        <w:t xml:space="preserve">the associate or full rank in either tenure track may be given no more</w:t>
      </w:r>
      <w:r>
        <w:t xml:space="preserve"> </w:t>
      </w:r>
      <w:r>
        <w:t xml:space="preserve">than three years of credit on the tenure clock at the time of the</w:t>
      </w:r>
      <w:r>
        <w:t xml:space="preserve"> </w:t>
      </w:r>
      <w:r>
        <w:t xml:space="preserve">initial probationary appointment.</w:t>
      </w:r>
    </w:p>
    <w:p>
      <w:pPr>
        <w:pStyle w:val="Heading3"/>
      </w:pPr>
      <w:bookmarkStart w:id="28" w:name="b.-stopping-the-tenure-clock"/>
      <w:r>
        <w:t xml:space="preserve">b. Stopping the Tenure Clock</w:t>
      </w:r>
      <w:bookmarkEnd w:id="28"/>
    </w:p>
    <w:p>
      <w:pPr>
        <w:pStyle w:val="FirstParagraph"/>
      </w:pPr>
      <w:r>
        <w:t xml:space="preserve">The tenure clock may be stopped during the probationary period prior</w:t>
      </w:r>
      <w:r>
        <w:t xml:space="preserve"> </w:t>
      </w:r>
      <w:r>
        <w:t xml:space="preserve">to the academic year of the mandatory tenure review. The number of</w:t>
      </w:r>
      <w:r>
        <w:t xml:space="preserve"> </w:t>
      </w:r>
      <w:r>
        <w:t xml:space="preserve">years served in the probationary period will exceed the number of</w:t>
      </w:r>
      <w:r>
        <w:t xml:space="preserve"> </w:t>
      </w:r>
      <w:r>
        <w:t xml:space="preserve">years accumulated on the tenure clock while at WPI if the tenure clock</w:t>
      </w:r>
      <w:r>
        <w:t xml:space="preserve"> </w:t>
      </w:r>
      <w:r>
        <w:t xml:space="preserve">is stopped during the probationary period.</w:t>
      </w:r>
    </w:p>
    <w:p>
      <w:pPr>
        <w:pStyle w:val="BodyText"/>
      </w:pPr>
      <w:r>
        <w:t xml:space="preserve">Anytime the tenure clock is stopped, the Provost must send a letter to</w:t>
      </w:r>
      <w:r>
        <w:t xml:space="preserve"> </w:t>
      </w:r>
      <w:r>
        <w:t xml:space="preserve">the faculty member indicating the academic year of the latest</w:t>
      </w:r>
      <w:r>
        <w:t xml:space="preserve"> </w:t>
      </w:r>
      <w:r>
        <w:t xml:space="preserve">clock-stoppage and the new date of the mandatory tenure review. This</w:t>
      </w:r>
      <w:r>
        <w:t xml:space="preserve"> </w:t>
      </w:r>
      <w:r>
        <w:t xml:space="preserve">information should also be included in the next reappointment letter</w:t>
      </w:r>
      <w:r>
        <w:t xml:space="preserve"> </w:t>
      </w:r>
      <w:r>
        <w:t xml:space="preserve">(see</w:t>
      </w:r>
      <w:r>
        <w:t xml:space="preserve"> </w:t>
      </w:r>
      <w:hyperlink r:id="rId25">
        <w:r>
          <w:rPr>
            <w:rStyle w:val="Hyperlink"/>
          </w:rPr>
          <w:t xml:space="preserve">Chapter Two: Academic Appointments,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3.a.i</w:t>
        </w:r>
      </w:hyperlink>
      <w:r>
        <w:t xml:space="preserve">).</w:t>
      </w:r>
    </w:p>
    <w:p>
      <w:pPr>
        <w:pStyle w:val="BodyText"/>
      </w:pPr>
      <w:r>
        <w:t xml:space="preserve">Specifically, the tenure clock may be stopped according to either the</w:t>
      </w:r>
      <w:r>
        <w:t xml:space="preserve"> </w:t>
      </w:r>
      <w:r>
        <w:t xml:space="preserve">New Child Provision or for Unpaid Leaves and Part-Time Employment, as</w:t>
      </w:r>
      <w:r>
        <w:t xml:space="preserve"> </w:t>
      </w:r>
      <w:r>
        <w:t xml:space="preserve">described below:</w:t>
      </w:r>
    </w:p>
    <w:p>
      <w:pPr>
        <w:pStyle w:val="Heading4"/>
      </w:pPr>
      <w:bookmarkStart w:id="29" w:name="i.-new-child-provision"/>
      <w:r>
        <w:t xml:space="preserve">i. New Child Provision</w:t>
      </w:r>
      <w:bookmarkEnd w:id="29"/>
    </w:p>
    <w:p>
      <w:pPr>
        <w:pStyle w:val="FirstParagraph"/>
      </w:pPr>
      <w:r>
        <w:t xml:space="preserve">Tenure-track faculty members who undertake significant childcare</w:t>
      </w:r>
      <w:r>
        <w:t xml:space="preserve"> </w:t>
      </w:r>
      <w:r>
        <w:t xml:space="preserve">responsibilities due to the arrival of a biological or adopted child</w:t>
      </w:r>
      <w:r>
        <w:t xml:space="preserve"> </w:t>
      </w:r>
      <w:r>
        <w:t xml:space="preserve">during their probationary appointment are entitled to stop the tenure</w:t>
      </w:r>
      <w:r>
        <w:t xml:space="preserve"> </w:t>
      </w:r>
      <w:r>
        <w:t xml:space="preserve">clock for one year, thus postponing the mandatory tenure review and</w:t>
      </w:r>
      <w:r>
        <w:t xml:space="preserve"> </w:t>
      </w:r>
      <w:r>
        <w:t xml:space="preserve">the academic year in which the tenure decision will be made. The</w:t>
      </w:r>
      <w:r>
        <w:t xml:space="preserve"> </w:t>
      </w:r>
      <w:r>
        <w:t xml:space="preserve">stopping of the tenure clock will be automatically granted by the</w:t>
      </w:r>
      <w:r>
        <w:t xml:space="preserve"> </w:t>
      </w:r>
      <w:r>
        <w:t xml:space="preserve">Provost upon written notification by the faculty member. Procedure</w:t>
      </w:r>
      <w:r>
        <w:t xml:space="preserve"> </w:t>
      </w:r>
      <w:r>
        <w:t xml:space="preserve">Notification to stop the tenure clock must be submitted to the Provost</w:t>
      </w:r>
      <w:r>
        <w:t xml:space="preserve"> </w:t>
      </w:r>
      <w:r>
        <w:t xml:space="preserve">in writing. A copy of the notification must also be sent to the</w:t>
      </w:r>
      <w:r>
        <w:t xml:space="preserve"> </w:t>
      </w:r>
      <w:r>
        <w:t xml:space="preserve">appropriate Dean and Department Head. For a biological child, the</w:t>
      </w:r>
      <w:r>
        <w:t xml:space="preserve"> </w:t>
      </w:r>
      <w:r>
        <w:t xml:space="preserve">notification may be made as early as the second trimester of pregnancy</w:t>
      </w:r>
      <w:r>
        <w:t xml:space="preserve"> </w:t>
      </w:r>
      <w:r>
        <w:t xml:space="preserve">but no later than six months after the birth of the child. For an</w:t>
      </w:r>
      <w:r>
        <w:t xml:space="preserve"> </w:t>
      </w:r>
      <w:r>
        <w:t xml:space="preserve">adopted child, the notification may be made as early as the date that</w:t>
      </w:r>
      <w:r>
        <w:t xml:space="preserve"> </w:t>
      </w:r>
      <w:r>
        <w:t xml:space="preserve">the child is legally placed in the home and no later than six months</w:t>
      </w:r>
      <w:r>
        <w:t xml:space="preserve"> </w:t>
      </w:r>
      <w:r>
        <w:t xml:space="preserve">after the child's arrival at the adoptive home. If the birth or</w:t>
      </w:r>
      <w:r>
        <w:t xml:space="preserve"> </w:t>
      </w:r>
      <w:r>
        <w:t xml:space="preserve">adoption of a child occurs during the academic year prior to the</w:t>
      </w:r>
      <w:r>
        <w:t xml:space="preserve"> </w:t>
      </w:r>
      <w:r>
        <w:t xml:space="preserve">faculty member's scheduled tenure review, then the notification must</w:t>
      </w:r>
      <w:r>
        <w:t xml:space="preserve"> </w:t>
      </w:r>
      <w:r>
        <w:t xml:space="preserve">be submitted by January 15 of the academic year prior to the scheduled</w:t>
      </w:r>
      <w:r>
        <w:t xml:space="preserve"> </w:t>
      </w:r>
      <w:r>
        <w:t xml:space="preserve">tenure review. The Provost will acknowledge the notification within</w:t>
      </w:r>
      <w:r>
        <w:t xml:space="preserve"> </w:t>
      </w:r>
      <w:r>
        <w:t xml:space="preserve">two weeks, and will state the academic year in which the tenure review</w:t>
      </w:r>
      <w:r>
        <w:t xml:space="preserve"> </w:t>
      </w:r>
      <w:r>
        <w:t xml:space="preserve">will occur. The Provost's communication will be copied to the faculty</w:t>
      </w:r>
      <w:r>
        <w:t xml:space="preserve"> </w:t>
      </w:r>
      <w:r>
        <w:t xml:space="preserve">member's Dean and Department Head and to CTAF.</w:t>
      </w:r>
    </w:p>
    <w:p>
      <w:pPr>
        <w:pStyle w:val="Heading4"/>
      </w:pPr>
      <w:bookmarkStart w:id="30" w:name="X87f039e9b8ebeb471639a5391c01d88f0f91db5"/>
      <w:r>
        <w:t xml:space="preserve">ii. Unpaid Leaves and Part-Time Employment</w:t>
      </w:r>
      <w:bookmarkEnd w:id="30"/>
    </w:p>
    <w:p>
      <w:pPr>
        <w:pStyle w:val="FirstParagraph"/>
      </w:pPr>
      <w:r>
        <w:t xml:space="preserve">Tenure-track faculty members are entitled to stop the tenure clock for</w:t>
      </w:r>
      <w:r>
        <w:t xml:space="preserve"> </w:t>
      </w:r>
      <w:r>
        <w:t xml:space="preserve">unpaid full-time leaves or for intervals of part-time employment</w:t>
      </w:r>
      <w:r>
        <w:t xml:space="preserve"> </w:t>
      </w:r>
      <w:r>
        <w:t xml:space="preserve">during which the faculty member's activity is at or below the</w:t>
      </w:r>
      <w:r>
        <w:t xml:space="preserve"> </w:t>
      </w:r>
      <w:r>
        <w:t xml:space="preserve">half-time level. The need for such unpaid leaves or part-time</w:t>
      </w:r>
      <w:r>
        <w:t xml:space="preserve"> </w:t>
      </w:r>
      <w:r>
        <w:t xml:space="preserve">intervals may arise from a variety of situations, including but not</w:t>
      </w:r>
      <w:r>
        <w:t xml:space="preserve"> </w:t>
      </w:r>
      <w:r>
        <w:t xml:space="preserve">limited to parenting, extenuating circumstances related to a personal</w:t>
      </w:r>
      <w:r>
        <w:t xml:space="preserve"> </w:t>
      </w:r>
      <w:r>
        <w:t xml:space="preserve">or family members' health, personal relations within a family which</w:t>
      </w:r>
      <w:r>
        <w:t xml:space="preserve"> </w:t>
      </w:r>
      <w:r>
        <w:t xml:space="preserve">impose special or arduous burdens, or for other reasons as may be</w:t>
      </w:r>
      <w:r>
        <w:t xml:space="preserve"> </w:t>
      </w:r>
      <w:r>
        <w:t xml:space="preserve">provided for in the "Family and Medical Leave Act of 1993." The terms</w:t>
      </w:r>
      <w:r>
        <w:t xml:space="preserve"> </w:t>
      </w:r>
      <w:r>
        <w:t xml:space="preserve">and conditions of the leave are arranged by negotiation between the</w:t>
      </w:r>
      <w:r>
        <w:t xml:space="preserve"> </w:t>
      </w:r>
      <w:r>
        <w:t xml:space="preserve">faculty member and the Provost. It is also understood that the leave</w:t>
      </w:r>
      <w:r>
        <w:t xml:space="preserve"> </w:t>
      </w:r>
      <w:r>
        <w:t xml:space="preserve">or part-time interval is not to be imposed by the Administration, but</w:t>
      </w:r>
      <w:r>
        <w:t xml:space="preserve"> </w:t>
      </w:r>
      <w:r>
        <w:t xml:space="preserve">that it is available at the election of the faculty</w:t>
      </w:r>
      <w:r>
        <w:t xml:space="preserve"> </w:t>
      </w:r>
      <w:r>
        <w:t xml:space="preserve">member. (Exceptions to this policy must be approved by the Committee</w:t>
      </w:r>
      <w:r>
        <w:t xml:space="preserve"> </w:t>
      </w:r>
      <w:r>
        <w:t xml:space="preserve">on Tenure and Academic Freedom.) The following table gives the time</w:t>
      </w:r>
      <w:r>
        <w:t xml:space="preserve"> </w:t>
      </w:r>
      <w:r>
        <w:t xml:space="preserve">intervals for which the tenure clock is stopped for these two types of</w:t>
      </w:r>
      <w:r>
        <w:t xml:space="preserve"> </w:t>
      </w:r>
      <w:r>
        <w:t xml:space="preserve">leave.</w:t>
      </w:r>
    </w:p>
    <w:tbl>
      <w:tblPr>
        <w:tblStyle w:val="Table"/>
        <w:tblW w:type="pct" w:w="4791.666666666666"/>
        <w:tblLook w:firstRow="1"/>
      </w:tblPr>
      <w:tblGrid>
        <w:gridCol w:w="1980"/>
        <w:gridCol w:w="2750"/>
        <w:gridCol w:w="2860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Type of Leave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Duration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Period for which Tenure</w:t>
            </w:r>
            <w:r>
              <w:t xml:space="preserve"> </w:t>
            </w:r>
            <w:r>
              <w:t xml:space="preserve">Clock is Stopped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Unpaid Full-time</w:t>
            </w:r>
            <w:r>
              <w:t xml:space="preserve"> </w:t>
            </w:r>
            <w:r>
              <w:t xml:space="preserve">Leave</w:t>
            </w:r>
          </w:p>
        </w:tc>
        <w:tc>
          <w:p>
            <w:pPr>
              <w:numPr>
                <w:ilvl w:val="0"/>
                <w:numId w:val="1003"/>
              </w:numPr>
              <w:pStyle w:val="Compact"/>
              <w:jc w:val="left"/>
            </w:pPr>
            <w:r>
              <w:t xml:space="preserve">Less than 6 months</w:t>
            </w:r>
          </w:p>
          <w:p>
            <w:pPr>
              <w:numPr>
                <w:ilvl w:val="0"/>
                <w:numId w:val="1003"/>
              </w:numPr>
              <w:pStyle w:val="Compact"/>
              <w:jc w:val="left"/>
            </w:pPr>
            <w:r>
              <w:t xml:space="preserve">6 to 18 months</w:t>
            </w:r>
          </w:p>
          <w:p>
            <w:pPr>
              <w:numPr>
                <w:ilvl w:val="0"/>
                <w:numId w:val="1003"/>
              </w:numPr>
              <w:pStyle w:val="Compact"/>
              <w:jc w:val="left"/>
            </w:pPr>
            <w:r>
              <w:t xml:space="preserve">More than 18 months</w:t>
            </w:r>
          </w:p>
        </w:tc>
        <w:tc>
          <w:p>
            <w:pPr>
              <w:numPr>
                <w:ilvl w:val="0"/>
                <w:numId w:val="1004"/>
              </w:numPr>
              <w:pStyle w:val="Compact"/>
              <w:jc w:val="left"/>
            </w:pPr>
            <w:r>
              <w:t xml:space="preserve">Not stopped</w:t>
            </w:r>
          </w:p>
          <w:p>
            <w:pPr>
              <w:numPr>
                <w:ilvl w:val="0"/>
                <w:numId w:val="1004"/>
              </w:numPr>
              <w:pStyle w:val="Compact"/>
              <w:jc w:val="left"/>
            </w:pPr>
            <w:r>
              <w:t xml:space="preserve">One year</w:t>
            </w:r>
          </w:p>
          <w:p>
            <w:pPr>
              <w:numPr>
                <w:ilvl w:val="0"/>
                <w:numId w:val="1004"/>
              </w:numPr>
              <w:pStyle w:val="Compact"/>
              <w:jc w:val="left"/>
            </w:pPr>
            <w:r>
              <w:t xml:space="preserve">Two years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Half-time</w:t>
            </w:r>
            <w:r>
              <w:t xml:space="preserve"> </w:t>
            </w:r>
            <w:r>
              <w:t xml:space="preserve">Activity</w:t>
            </w:r>
            <w:r>
              <w:t xml:space="preserve"> </w:t>
            </w:r>
            <w:r>
              <w:t xml:space="preserve">Interval</w:t>
            </w:r>
          </w:p>
        </w:tc>
        <w:tc>
          <w:p>
            <w:pPr>
              <w:numPr>
                <w:ilvl w:val="0"/>
                <w:numId w:val="1005"/>
              </w:numPr>
              <w:pStyle w:val="Compact"/>
              <w:jc w:val="left"/>
            </w:pPr>
            <w:r>
              <w:t xml:space="preserve">Less than 12 months</w:t>
            </w:r>
          </w:p>
          <w:p>
            <w:pPr>
              <w:numPr>
                <w:ilvl w:val="0"/>
                <w:numId w:val="1005"/>
              </w:numPr>
              <w:pStyle w:val="Compact"/>
              <w:jc w:val="left"/>
            </w:pPr>
            <w:r>
              <w:t xml:space="preserve">12-24 months</w:t>
            </w:r>
          </w:p>
          <w:p>
            <w:pPr>
              <w:numPr>
                <w:ilvl w:val="0"/>
                <w:numId w:val="1005"/>
              </w:numPr>
              <w:pStyle w:val="Compact"/>
              <w:jc w:val="left"/>
            </w:pPr>
            <w:r>
              <w:t xml:space="preserve">More than 24 months</w:t>
            </w:r>
          </w:p>
        </w:tc>
        <w:tc>
          <w:p>
            <w:pPr>
              <w:numPr>
                <w:ilvl w:val="0"/>
                <w:numId w:val="1006"/>
              </w:numPr>
              <w:pStyle w:val="Compact"/>
              <w:jc w:val="left"/>
            </w:pPr>
            <w:r>
              <w:t xml:space="preserve">Not stopped</w:t>
            </w:r>
          </w:p>
          <w:p>
            <w:pPr>
              <w:numPr>
                <w:ilvl w:val="0"/>
                <w:numId w:val="1006"/>
              </w:numPr>
              <w:pStyle w:val="Compact"/>
              <w:jc w:val="left"/>
            </w:pPr>
            <w:r>
              <w:t xml:space="preserve">One year</w:t>
            </w:r>
          </w:p>
          <w:p>
            <w:pPr>
              <w:numPr>
                <w:ilvl w:val="0"/>
                <w:numId w:val="1006"/>
              </w:numPr>
              <w:pStyle w:val="Compact"/>
              <w:jc w:val="left"/>
            </w:pPr>
            <w:r>
              <w:t xml:space="preserve">Two years</w:t>
            </w:r>
          </w:p>
        </w:tc>
      </w:tr>
    </w:tbl>
    <w:p>
      <w:pPr>
        <w:pStyle w:val="Heading4"/>
      </w:pPr>
      <w:bookmarkStart w:id="31" w:name="iii.-effect-on-tenure-review"/>
      <w:r>
        <w:t xml:space="preserve">iii. Effect on Tenure Review</w:t>
      </w:r>
      <w:bookmarkEnd w:id="31"/>
    </w:p>
    <w:p>
      <w:pPr>
        <w:pStyle w:val="FirstParagraph"/>
      </w:pPr>
      <w:r>
        <w:t xml:space="preserve">The tenure review of a faculty member who has exercised their</w:t>
      </w:r>
      <w:r>
        <w:t xml:space="preserve"> </w:t>
      </w:r>
      <w:r>
        <w:t xml:space="preserve">entitlement to stop the tenure clock will be conducted under the same</w:t>
      </w:r>
      <w:r>
        <w:t xml:space="preserve"> </w:t>
      </w:r>
      <w:r>
        <w:t xml:space="preserve">criteria for tenure as a candidate who has not stopped the tenure</w:t>
      </w:r>
      <w:r>
        <w:t xml:space="preserve"> </w:t>
      </w:r>
      <w:r>
        <w:t xml:space="preserve">clock.</w:t>
      </w:r>
    </w:p>
    <w:p>
      <w:pPr>
        <w:pStyle w:val="Heading3"/>
      </w:pPr>
      <w:bookmarkStart w:id="32" w:name="chapter-3-section-2c"/>
      <w:r>
        <w:t xml:space="preserve">c. Early Tenure Review Prior to the Scheduled Tenure Review</w:t>
      </w:r>
      <w:bookmarkEnd w:id="32"/>
    </w:p>
    <w:p>
      <w:pPr>
        <w:pStyle w:val="FirstParagraph"/>
      </w:pPr>
      <w:r>
        <w:t xml:space="preserve">The policy of the Faculty toward early tenure review is that it should</w:t>
      </w:r>
      <w:r>
        <w:t xml:space="preserve"> </w:t>
      </w:r>
      <w:r>
        <w:t xml:space="preserve">be conducted only if there has been some special or significant</w:t>
      </w:r>
      <w:r>
        <w:t xml:space="preserve"> </w:t>
      </w:r>
      <w:r>
        <w:t xml:space="preserve">contribution by the nominee to WPI or to the nominee's Department, or</w:t>
      </w:r>
      <w:r>
        <w:t xml:space="preserve"> </w:t>
      </w:r>
      <w:r>
        <w:t xml:space="preserve">if the academic freedom of the nominee is in serious jeopardy.</w:t>
      </w:r>
    </w:p>
    <w:p>
      <w:pPr>
        <w:pStyle w:val="Heading4"/>
      </w:pPr>
      <w:bookmarkStart w:id="33" w:name="X3c60f5446bf6f2067168aa9e7f6fbc047937d3b"/>
      <w:r>
        <w:t xml:space="preserve">i. Early Tenure Review for Special or Significant Contributions by the Faculty Member</w:t>
      </w:r>
      <w:bookmarkEnd w:id="33"/>
    </w:p>
    <w:p>
      <w:pPr>
        <w:pStyle w:val="FirstParagraph"/>
      </w:pPr>
      <w:r>
        <w:t xml:space="preserve">In this case, CTAF shall oversee the tenure review of those faculty</w:t>
      </w:r>
      <w:r>
        <w:t xml:space="preserve"> </w:t>
      </w:r>
      <w:r>
        <w:t xml:space="preserve">members who are on the tenure track at WPI and have been nominated for</w:t>
      </w:r>
      <w:r>
        <w:t xml:space="preserve"> </w:t>
      </w:r>
      <w:r>
        <w:t xml:space="preserve">tenure by any voting faculty member consistent with the minimum time</w:t>
      </w:r>
      <w:r>
        <w:t xml:space="preserve"> </w:t>
      </w:r>
      <w:r>
        <w:t xml:space="preserve">that must be served on a probationary appointment prior to the tenure</w:t>
      </w:r>
      <w:r>
        <w:t xml:space="preserve"> </w:t>
      </w:r>
      <w:r>
        <w:t xml:space="preserve">review described in</w:t>
      </w:r>
      <w:r>
        <w:t xml:space="preserve"> </w:t>
      </w:r>
      <w:hyperlink r:id="rId25">
        <w:r>
          <w:rPr>
            <w:rStyle w:val="Hyperlink"/>
          </w:rPr>
          <w:t xml:space="preserve">Chapter Two: Academic Appointments,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3.a.i</w:t>
        </w:r>
      </w:hyperlink>
      <w:r>
        <w:t xml:space="preserve"> </w:t>
      </w:r>
      <w:r>
        <w:t xml:space="preserve">and in</w:t>
      </w:r>
      <w:r>
        <w:t xml:space="preserve"> </w:t>
      </w:r>
      <w:hyperlink r:id="rId34">
        <w:r>
          <w:rPr>
            <w:rStyle w:val="Hyperlink"/>
          </w:rPr>
          <w:t xml:space="preserve">Chapter Three: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Tenure, Section 1</w:t>
        </w:r>
      </w:hyperlink>
      <w:r>
        <w:t xml:space="preserve">). Notification</w:t>
      </w:r>
      <w:r>
        <w:t xml:space="preserve"> </w:t>
      </w:r>
      <w:r>
        <w:t xml:space="preserve">of these early tenure nominations are due in the Faculty Governance</w:t>
      </w:r>
      <w:r>
        <w:t xml:space="preserve"> </w:t>
      </w:r>
      <w:r>
        <w:t xml:space="preserve">Office by April 15 for review during the following academic year, with</w:t>
      </w:r>
      <w:r>
        <w:t xml:space="preserve"> </w:t>
      </w:r>
      <w:r>
        <w:t xml:space="preserve">a copy submitted to the Secretary of the Faculty.</w:t>
      </w:r>
    </w:p>
    <w:p>
      <w:pPr>
        <w:pStyle w:val="BodyText"/>
      </w:pPr>
      <w:r>
        <w:t xml:space="preserve">The special or significant contributions by the nominee must be</w:t>
      </w:r>
      <w:r>
        <w:t xml:space="preserve"> </w:t>
      </w:r>
      <w:r>
        <w:t xml:space="preserve">explicitly documented in a separate detailed letter written by the</w:t>
      </w:r>
      <w:r>
        <w:t xml:space="preserve"> </w:t>
      </w:r>
      <w:r>
        <w:t xml:space="preserve">nominator and included in the materials to be reviewed by the Joint</w:t>
      </w:r>
      <w:r>
        <w:t xml:space="preserve"> </w:t>
      </w:r>
      <w:r>
        <w:t xml:space="preserve">Tenure Committee in the case.</w:t>
      </w:r>
    </w:p>
    <w:p>
      <w:pPr>
        <w:pStyle w:val="BodyText"/>
      </w:pPr>
      <w:r>
        <w:t xml:space="preserve">In these cases, the normal tenure review procedures will be followed</w:t>
      </w:r>
      <w:r>
        <w:t xml:space="preserve"> </w:t>
      </w:r>
      <w:r>
        <w:t xml:space="preserve">and the recommendation shall be that tenure (and, in the cases of</w:t>
      </w:r>
      <w:r>
        <w:t xml:space="preserve"> </w:t>
      </w:r>
      <w:r>
        <w:t xml:space="preserve">assistant professors and assistant professors of teaching, promotion</w:t>
      </w:r>
      <w:r>
        <w:t xml:space="preserve"> </w:t>
      </w:r>
      <w:r>
        <w:t xml:space="preserve">to the corresponding associate rank) be granted or that the nomination</w:t>
      </w:r>
      <w:r>
        <w:t xml:space="preserve"> </w:t>
      </w:r>
      <w:r>
        <w:t xml:space="preserve">be tabled. If tenure is recommended, the Provost is notified by the</w:t>
      </w:r>
      <w:r>
        <w:t xml:space="preserve"> </w:t>
      </w:r>
      <w:r>
        <w:t xml:space="preserve">method used in regular tenure reviews. If the nomination is tabled,</w:t>
      </w:r>
      <w:r>
        <w:t xml:space="preserve"> </w:t>
      </w:r>
      <w:r>
        <w:t xml:space="preserve">the Provost is not notified and the nominee is notified in writing by</w:t>
      </w:r>
      <w:r>
        <w:t xml:space="preserve"> </w:t>
      </w:r>
      <w:r>
        <w:t xml:space="preserve">the CTAF member who served as the Chair of the Joint Tenure Committee</w:t>
      </w:r>
      <w:r>
        <w:t xml:space="preserve"> </w:t>
      </w:r>
      <w:r>
        <w:t xml:space="preserve">for the case.</w:t>
      </w:r>
    </w:p>
    <w:p>
      <w:pPr>
        <w:pStyle w:val="Heading4"/>
      </w:pPr>
      <w:bookmarkStart w:id="35" w:name="X3c1997820bebd72c1080bc25daf5ba35649ba20"/>
      <w:r>
        <w:t xml:space="preserve">ii. Early Tenure Review when the Academic Freedom of the Faculty Member is in Serious Jeopardy</w:t>
      </w:r>
      <w:bookmarkEnd w:id="35"/>
    </w:p>
    <w:p>
      <w:pPr>
        <w:pStyle w:val="FirstParagraph"/>
      </w:pPr>
      <w:r>
        <w:t xml:space="preserve">(Amended by the Faculty,</w:t>
      </w:r>
      <w:r>
        <w:t xml:space="preserve"> </w:t>
      </w:r>
      <w:r>
        <w:rPr>
          <w:i/>
        </w:rPr>
        <w:t xml:space="preserve">March 13, 2024</w:t>
      </w:r>
      <w:r>
        <w:t xml:space="preserve">)</w:t>
      </w:r>
    </w:p>
    <w:p>
      <w:pPr>
        <w:pStyle w:val="BodyText"/>
      </w:pPr>
      <w:r>
        <w:t xml:space="preserve">CTAF has the responsibility of reviewing problems involving the</w:t>
      </w:r>
      <w:r>
        <w:t xml:space="preserve"> </w:t>
      </w:r>
      <w:r>
        <w:t xml:space="preserve">academic freedom of all faculty members - whether they are tenured,</w:t>
      </w:r>
      <w:r>
        <w:t xml:space="preserve"> </w:t>
      </w:r>
      <w:r>
        <w:t xml:space="preserve">non-tenured, full-time, or part-time. In cases where faculty members</w:t>
      </w:r>
      <w:r>
        <w:t xml:space="preserve"> </w:t>
      </w:r>
      <w:r>
        <w:t xml:space="preserve">allege that their academic freedom has been violated, the Committee on</w:t>
      </w:r>
      <w:r>
        <w:t xml:space="preserve"> </w:t>
      </w:r>
      <w:r>
        <w:t xml:space="preserve">Tenure and Academic Freedom shall follow the process described in</w:t>
      </w:r>
      <w:r>
        <w:t xml:space="preserve"> </w:t>
      </w:r>
      <w:hyperlink r:id="rId36">
        <w:r>
          <w:rPr>
            <w:rStyle w:val="Hyperlink"/>
          </w:rPr>
          <w:t xml:space="preserve">Chapter Five: Faculty Grievance Procedures,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1</w:t>
        </w:r>
      </w:hyperlink>
      <w:r>
        <w:t xml:space="preserve">.</w:t>
      </w:r>
    </w:p>
    <w:p>
      <w:pPr>
        <w:pStyle w:val="BodyText"/>
      </w:pPr>
      <w:r>
        <w:t xml:space="preserve">In the event that CTAF determines that the academic freedom of a</w:t>
      </w:r>
      <w:r>
        <w:t xml:space="preserve"> </w:t>
      </w:r>
      <w:r>
        <w:t xml:space="preserve">tenure-track faculty member is in serious jeopardy and is unsuccessful</w:t>
      </w:r>
      <w:r>
        <w:t xml:space="preserve"> </w:t>
      </w:r>
      <w:r>
        <w:t xml:space="preserve">in the resolution of such problems, the committee shall invite the</w:t>
      </w:r>
      <w:r>
        <w:t xml:space="preserve"> </w:t>
      </w:r>
      <w:r>
        <w:t xml:space="preserve">faculty member to apply for tenure and shall in any case recommend</w:t>
      </w:r>
      <w:r>
        <w:t xml:space="preserve"> </w:t>
      </w:r>
      <w:r>
        <w:t xml:space="preserve">tenure (and, in the cases of assistant professors and assistant</w:t>
      </w:r>
      <w:r>
        <w:t xml:space="preserve"> </w:t>
      </w:r>
      <w:r>
        <w:t xml:space="preserve">professors of teaching, promotion to the corresponding associate rank)</w:t>
      </w:r>
      <w:r>
        <w:t xml:space="preserve"> </w:t>
      </w:r>
      <w:r>
        <w:t xml:space="preserve">only when there is good evidence that the nominee would eventually be</w:t>
      </w:r>
      <w:r>
        <w:t xml:space="preserve"> </w:t>
      </w:r>
      <w:r>
        <w:t xml:space="preserve">tenured by the normal procedure. Otherwise, the case is tabled and the</w:t>
      </w:r>
      <w:r>
        <w:t xml:space="preserve"> </w:t>
      </w:r>
      <w:r>
        <w:t xml:space="preserve">faculty member is notified personally by the Chair of CTAF.</w:t>
      </w:r>
    </w:p>
    <w:p>
      <w:pPr>
        <w:pStyle w:val="BodyText"/>
      </w:pPr>
      <w:r>
        <w:t xml:space="preserve">At the start of any such tenure case, CTAF shall consider whether any</w:t>
      </w:r>
      <w:r>
        <w:t xml:space="preserve"> </w:t>
      </w:r>
      <w:r>
        <w:t xml:space="preserve">of its members or any members of the Department Tenure Committee</w:t>
      </w:r>
      <w:r>
        <w:t xml:space="preserve"> </w:t>
      </w:r>
      <w:r>
        <w:t xml:space="preserve">should be recused due to direct conflict of interest. If a CTAF or</w:t>
      </w:r>
      <w:r>
        <w:t xml:space="preserve"> </w:t>
      </w:r>
      <w:r>
        <w:t xml:space="preserve">DTC member is recused, that member either will be replaced in a manner</w:t>
      </w:r>
      <w:r>
        <w:t xml:space="preserve"> </w:t>
      </w:r>
      <w:r>
        <w:t xml:space="preserve">determined by CTAF or the review will proceed with the remaining</w:t>
      </w:r>
      <w:r>
        <w:t xml:space="preserve"> </w:t>
      </w:r>
      <w:r>
        <w:t xml:space="preserve">members. The procedures otherwise to be followed in the tenure review</w:t>
      </w:r>
      <w:r>
        <w:t xml:space="preserve"> </w:t>
      </w:r>
      <w:r>
        <w:t xml:space="preserve">and the granting of tenure (and, in the cases of assistant professors</w:t>
      </w:r>
      <w:r>
        <w:t xml:space="preserve"> </w:t>
      </w:r>
      <w:r>
        <w:t xml:space="preserve">and assistant professors of teaching, promotion to the corresponding</w:t>
      </w:r>
      <w:r>
        <w:t xml:space="preserve"> </w:t>
      </w:r>
      <w:r>
        <w:t xml:space="preserve">associate rank) will be, to the extent possible without exposing the</w:t>
      </w:r>
      <w:r>
        <w:t xml:space="preserve"> </w:t>
      </w:r>
      <w:r>
        <w:t xml:space="preserve">faculty member to further jeopardy, those followed in a normal tenure</w:t>
      </w:r>
      <w:r>
        <w:t xml:space="preserve"> </w:t>
      </w:r>
      <w:r>
        <w:t xml:space="preserve">case, including promotion to the associate rank when the faculty</w:t>
      </w:r>
      <w:r>
        <w:t xml:space="preserve"> </w:t>
      </w:r>
      <w:r>
        <w:t xml:space="preserve">member is at the assistant rank.</w:t>
      </w:r>
    </w:p>
    <w:p>
      <w:pPr>
        <w:pStyle w:val="Heading2"/>
      </w:pPr>
      <w:bookmarkStart w:id="37" w:name="chapter-3-section-3"/>
      <w:r>
        <w:t xml:space="preserve">3. The Tenure Criteria</w:t>
      </w:r>
      <w:bookmarkEnd w:id="37"/>
    </w:p>
    <w:p>
      <w:pPr>
        <w:pStyle w:val="Heading3"/>
      </w:pPr>
      <w:bookmarkStart w:id="38" w:name="X011f09ca15f4b095e4cc7d00fda1834d0ce4164"/>
      <w:r>
        <w:t xml:space="preserve">a. Tenure Criteria for Associate and (full) Professors</w:t>
      </w:r>
      <w:bookmarkEnd w:id="38"/>
    </w:p>
    <w:p>
      <w:pPr>
        <w:pStyle w:val="FirstParagraph"/>
      </w:pPr>
      <w:r>
        <w:t xml:space="preserve">(Approved by the Faculty,</w:t>
      </w:r>
      <w:r>
        <w:t xml:space="preserve"> </w:t>
      </w:r>
      <w:r>
        <w:rPr>
          <w:i/>
        </w:rPr>
        <w:t xml:space="preserve">October 13, 1988</w:t>
      </w:r>
      <w:r>
        <w:t xml:space="preserve">)</w:t>
      </w:r>
      <w:r>
        <w:br/>
      </w:r>
      <w:r>
        <w:t xml:space="preserve">(Amended by the Faculty,</w:t>
      </w:r>
      <w:r>
        <w:t xml:space="preserve"> </w:t>
      </w:r>
      <w:r>
        <w:rPr>
          <w:i/>
        </w:rPr>
        <w:t xml:space="preserve">March 24, 2011</w:t>
      </w:r>
      <w:r>
        <w:t xml:space="preserve">)</w:t>
      </w:r>
    </w:p>
    <w:p>
      <w:pPr>
        <w:numPr>
          <w:ilvl w:val="0"/>
          <w:numId w:val="1007"/>
        </w:numPr>
      </w:pPr>
      <w:r>
        <w:t xml:space="preserve">High quality teaching (undergraduate and/or graduate) is an</w:t>
      </w:r>
      <w:r>
        <w:t xml:space="preserve"> </w:t>
      </w:r>
      <w:r>
        <w:t xml:space="preserve">essential (but not sufficient) requirement for obtaining tenure at</w:t>
      </w:r>
      <w:r>
        <w:t xml:space="preserve"> </w:t>
      </w:r>
      <w:r>
        <w:t xml:space="preserve">WPI. The candidate's activities should demonstrate the capacity for</w:t>
      </w:r>
      <w:r>
        <w:t xml:space="preserve"> </w:t>
      </w:r>
      <w:r>
        <w:t xml:space="preserve">continued high quality performance. High quality teaching can be</w:t>
      </w:r>
      <w:r>
        <w:t xml:space="preserve"> </w:t>
      </w:r>
      <w:r>
        <w:t xml:space="preserve">evidenced in many ways, including (but not limited to): course</w:t>
      </w:r>
      <w:r>
        <w:t xml:space="preserve"> </w:t>
      </w:r>
      <w:r>
        <w:t xml:space="preserve">evaluations; faculty peer evaluations; evaluations by alumni; the</w:t>
      </w:r>
      <w:r>
        <w:t xml:space="preserve"> </w:t>
      </w:r>
      <w:r>
        <w:t xml:space="preserve">quality of the Major Qualifying Projects, Interactive Qualifying</w:t>
      </w:r>
      <w:r>
        <w:t xml:space="preserve"> </w:t>
      </w:r>
      <w:r>
        <w:t xml:space="preserve">Projects, and the Humanities Inquiry Seminar or Practicum; freshman</w:t>
      </w:r>
      <w:r>
        <w:t xml:space="preserve"> </w:t>
      </w:r>
      <w:r>
        <w:t xml:space="preserve">advising, academic advising and graduate theses advised by the</w:t>
      </w:r>
      <w:r>
        <w:t xml:space="preserve"> </w:t>
      </w:r>
      <w:r>
        <w:t xml:space="preserve">candidate; teaching innovations; new course introductions; and</w:t>
      </w:r>
      <w:r>
        <w:t xml:space="preserve"> </w:t>
      </w:r>
      <w:r>
        <w:t xml:space="preserve">redesign of existing courses.</w:t>
      </w:r>
    </w:p>
    <w:p>
      <w:pPr>
        <w:numPr>
          <w:ilvl w:val="0"/>
          <w:numId w:val="1007"/>
        </w:numPr>
      </w:pPr>
      <w:r>
        <w:t xml:space="preserve">High quality scholarship is an essential (but not sufficient)</w:t>
      </w:r>
      <w:r>
        <w:t xml:space="preserve"> </w:t>
      </w:r>
      <w:r>
        <w:t xml:space="preserve">requirement for obtaining tenure at WPI. The candidate's activities</w:t>
      </w:r>
      <w:r>
        <w:t xml:space="preserve"> </w:t>
      </w:r>
      <w:r>
        <w:t xml:space="preserve">should demonstrate the capacity for continued high quality</w:t>
      </w:r>
      <w:r>
        <w:t xml:space="preserve"> </w:t>
      </w:r>
      <w:r>
        <w:t xml:space="preserve">performance. High quality scholarship can be evidenced in many ways,</w:t>
      </w:r>
      <w:r>
        <w:t xml:space="preserve"> </w:t>
      </w:r>
      <w:r>
        <w:t xml:space="preserve">including (but not limited to): peer-reviewed publications such as</w:t>
      </w:r>
      <w:r>
        <w:t xml:space="preserve"> </w:t>
      </w:r>
      <w:r>
        <w:t xml:space="preserve">journal articles, conference papers, and/or book chapters; books;</w:t>
      </w:r>
      <w:r>
        <w:t xml:space="preserve"> </w:t>
      </w:r>
      <w:r>
        <w:t xml:space="preserve">exhibitions, and performances; professional awards; citations in the</w:t>
      </w:r>
      <w:r>
        <w:t xml:space="preserve"> </w:t>
      </w:r>
      <w:r>
        <w:t xml:space="preserve">professional literature; presentations at professional meetings; grant</w:t>
      </w:r>
      <w:r>
        <w:t xml:space="preserve"> </w:t>
      </w:r>
      <w:r>
        <w:t xml:space="preserve">proposals and grants awarded; offices held in professional societies;</w:t>
      </w:r>
      <w:r>
        <w:t xml:space="preserve"> </w:t>
      </w:r>
      <w:r>
        <w:t xml:space="preserve">journal editorships; reviews of papers and proposals; and patents.</w:t>
      </w:r>
    </w:p>
    <w:p>
      <w:pPr>
        <w:numPr>
          <w:ilvl w:val="0"/>
          <w:numId w:val="1007"/>
        </w:numPr>
      </w:pPr>
      <w:r>
        <w:t xml:space="preserve">Service is valued and considered in the tenure deliberations at</w:t>
      </w:r>
      <w:r>
        <w:t xml:space="preserve"> </w:t>
      </w:r>
      <w:r>
        <w:t xml:space="preserve">WPI. Service can be evidenced in many ways, including (but not</w:t>
      </w:r>
      <w:r>
        <w:t xml:space="preserve"> </w:t>
      </w:r>
      <w:r>
        <w:t xml:space="preserve">limited to): service to WPI (faculty governance and ad-hoc committees,</w:t>
      </w:r>
      <w:r>
        <w:t xml:space="preserve"> </w:t>
      </w:r>
      <w:r>
        <w:t xml:space="preserve">assistance to administrative offices); service to the candidate's</w:t>
      </w:r>
      <w:r>
        <w:t xml:space="preserve"> </w:t>
      </w:r>
      <w:r>
        <w:t xml:space="preserve">department (curriculum committees, MQP area coordinators, faculty</w:t>
      </w:r>
      <w:r>
        <w:t xml:space="preserve"> </w:t>
      </w:r>
      <w:r>
        <w:t xml:space="preserve">recruitment, seminar series participation and coordination), service</w:t>
      </w:r>
      <w:r>
        <w:t xml:space="preserve"> </w:t>
      </w:r>
      <w:r>
        <w:t xml:space="preserve">to the local community (board and committee membership in social</w:t>
      </w:r>
      <w:r>
        <w:t xml:space="preserve"> </w:t>
      </w:r>
      <w:r>
        <w:t xml:space="preserve">service and cultural institutions, local government participation);</w:t>
      </w:r>
      <w:r>
        <w:t xml:space="preserve"> </w:t>
      </w:r>
      <w:r>
        <w:t xml:space="preserve">and service to the profession (participation in national and</w:t>
      </w:r>
      <w:r>
        <w:t xml:space="preserve"> </w:t>
      </w:r>
      <w:r>
        <w:t xml:space="preserve">international committees and panels, in local chapters of professional</w:t>
      </w:r>
      <w:r>
        <w:t xml:space="preserve"> </w:t>
      </w:r>
      <w:r>
        <w:t xml:space="preserve">societies, in conference organization).</w:t>
      </w:r>
    </w:p>
    <w:p>
      <w:pPr>
        <w:pStyle w:val="Heading3"/>
      </w:pPr>
      <w:bookmarkStart w:id="39" w:name="chapter-3-section-3b"/>
      <w:r>
        <w:t xml:space="preserve">b. Tenure Criteria for Associate and (full) Professors of Teaching</w:t>
      </w:r>
      <w:bookmarkEnd w:id="39"/>
    </w:p>
    <w:p>
      <w:pPr>
        <w:pStyle w:val="FirstParagraph"/>
      </w:pPr>
      <w:r>
        <w:t xml:space="preserve">(Approved by the Faculty,</w:t>
      </w:r>
      <w:r>
        <w:t xml:space="preserve"> </w:t>
      </w:r>
      <w:r>
        <w:rPr>
          <w:i/>
        </w:rPr>
        <w:t xml:space="preserve">January 28, 2021</w:t>
      </w:r>
      <w:r>
        <w:t xml:space="preserve">)</w:t>
      </w:r>
    </w:p>
    <w:p>
      <w:pPr>
        <w:pStyle w:val="BodyText"/>
      </w:pPr>
      <w:r>
        <w:rPr>
          <w:i/>
        </w:rPr>
        <w:t xml:space="preserve">Preamble:</w:t>
      </w:r>
      <w:r>
        <w:br/>
      </w:r>
      <w:r>
        <w:t xml:space="preserve">The mission and distinctiveness of WPI depends on the essential</w:t>
      </w:r>
      <w:r>
        <w:t xml:space="preserve"> </w:t>
      </w:r>
      <w:r>
        <w:t xml:space="preserve">contributions of teaching-intensive faculty members who continuously</w:t>
      </w:r>
      <w:r>
        <w:t xml:space="preserve"> </w:t>
      </w:r>
      <w:r>
        <w:t xml:space="preserve">innovate and improve upon our student-centered educational programs</w:t>
      </w:r>
      <w:r>
        <w:t xml:space="preserve"> </w:t>
      </w:r>
      <w:r>
        <w:t xml:space="preserve">and practices. In part, WPI recognizes the long-term value of these</w:t>
      </w:r>
      <w:r>
        <w:t xml:space="preserve"> </w:t>
      </w:r>
      <w:r>
        <w:t xml:space="preserve">faculty members through a category of tenured and tenure-track</w:t>
      </w:r>
      <w:r>
        <w:t xml:space="preserve"> </w:t>
      </w:r>
      <w:r>
        <w:t xml:space="preserve">teaching-intensive Professors of Teaching, thus providing these</w:t>
      </w:r>
      <w:r>
        <w:t xml:space="preserve"> </w:t>
      </w:r>
      <w:r>
        <w:t xml:space="preserve">faculty members with the highest level of academic freedom and</w:t>
      </w:r>
      <w:r>
        <w:t xml:space="preserve"> </w:t>
      </w:r>
      <w:r>
        <w:t xml:space="preserve">institutional commitment. These positions are part of WPI's broader</w:t>
      </w:r>
      <w:r>
        <w:t xml:space="preserve"> </w:t>
      </w:r>
      <w:r>
        <w:t xml:space="preserve">commitment to inclusive excellence and development and retention of</w:t>
      </w:r>
      <w:r>
        <w:t xml:space="preserve"> </w:t>
      </w:r>
      <w:r>
        <w:t xml:space="preserve">faculty talent aligned with WPI's institutional mission.</w:t>
      </w:r>
    </w:p>
    <w:p>
      <w:pPr>
        <w:pStyle w:val="BodyText"/>
      </w:pPr>
      <w:r>
        <w:rPr>
          <w:i/>
        </w:rPr>
        <w:t xml:space="preserve">Criteria:</w:t>
      </w:r>
      <w:r>
        <w:br/>
      </w:r>
      <w:r>
        <w:t xml:space="preserve">Assistant, Associate, and Full Professors of Teaching are expected</w:t>
      </w:r>
      <w:r>
        <w:t xml:space="preserve"> </w:t>
      </w:r>
      <w:r>
        <w:t xml:space="preserve">primarily to contribute to the teaching mission</w:t>
      </w:r>
      <w:r>
        <w:rPr>
          <w:rStyle w:val="FootnoteReference"/>
        </w:rPr>
        <w:footnoteReference w:id="40"/>
      </w:r>
      <w:r>
        <w:t xml:space="preserve"> </w:t>
      </w:r>
      <w:r>
        <w:t xml:space="preserve">of WPI. Therefore</w:t>
      </w:r>
      <w:r>
        <w:t xml:space="preserve"> </w:t>
      </w:r>
      <w:r>
        <w:t xml:space="preserve">the tenure criteria for these faculty members are focused on the</w:t>
      </w:r>
      <w:r>
        <w:t xml:space="preserve"> </w:t>
      </w:r>
      <w:r>
        <w:t xml:space="preserve">quality of their teaching, their broader contributions to WPI's</w:t>
      </w:r>
      <w:r>
        <w:t xml:space="preserve"> </w:t>
      </w:r>
      <w:r>
        <w:t xml:space="preserve">overall teaching mission, and their demonstrated and potential</w:t>
      </w:r>
      <w:r>
        <w:t xml:space="preserve"> </w:t>
      </w:r>
      <w:r>
        <w:t xml:space="preserve">contributions to a broader community of educators, practitioners,</w:t>
      </w:r>
      <w:r>
        <w:t xml:space="preserve"> </w:t>
      </w:r>
      <w:r>
        <w:t xml:space="preserve">and/or scholars within or beyond WPI, especially when it clearly</w:t>
      </w:r>
      <w:r>
        <w:t xml:space="preserve"> </w:t>
      </w:r>
      <w:r>
        <w:t xml:space="preserve">enhances the effectiveness of the candidate's teaching and/or furthers</w:t>
      </w:r>
      <w:r>
        <w:t xml:space="preserve"> </w:t>
      </w:r>
      <w:r>
        <w:t xml:space="preserve">a general understanding of effective teaching practices.</w:t>
      </w:r>
      <w:r>
        <w:t xml:space="preserve"> </w:t>
      </w:r>
      <w:r>
        <w:t xml:space="preserve">Consideration is also given to each candidate's level of active</w:t>
      </w:r>
      <w:r>
        <w:t xml:space="preserve"> </w:t>
      </w:r>
      <w:r>
        <w:t xml:space="preserve">engagement with and service to WPI and/or the broader professional</w:t>
      </w:r>
      <w:r>
        <w:t xml:space="preserve"> </w:t>
      </w:r>
      <w:r>
        <w:t xml:space="preserve">communities. The candidate's activities should demonstrate the</w:t>
      </w:r>
      <w:r>
        <w:t xml:space="preserve"> </w:t>
      </w:r>
      <w:r>
        <w:t xml:space="preserve">capacity for continued excellent performance.</w:t>
      </w:r>
    </w:p>
    <w:p>
      <w:pPr>
        <w:pStyle w:val="BodyText"/>
      </w:pPr>
      <w:r>
        <w:t xml:space="preserve">Professors of Teaching are expected to contribute in three categories:</w:t>
      </w:r>
      <w:r>
        <w:t xml:space="preserve"> </w:t>
      </w:r>
      <w:r>
        <w:t xml:space="preserve">teaching practice; continuing professional growth and currency; and</w:t>
      </w:r>
      <w:r>
        <w:t xml:space="preserve"> </w:t>
      </w:r>
      <w:r>
        <w:t xml:space="preserve">service. These categories are defined below.</w:t>
      </w:r>
    </w:p>
    <w:p>
      <w:pPr>
        <w:pStyle w:val="BodyText"/>
      </w:pPr>
      <w:r>
        <w:rPr>
          <w:i/>
        </w:rPr>
        <w:t xml:space="preserve">Teaching Practice:</w:t>
      </w:r>
      <w:r>
        <w:t xml:space="preserve"> </w:t>
      </w:r>
      <w:r>
        <w:t xml:space="preserve">Excellent undergraduate and/or graduate teaching - whether it is</w:t>
      </w:r>
      <w:r>
        <w:t xml:space="preserve"> </w:t>
      </w:r>
      <w:r>
        <w:t xml:space="preserve">delivered in the classroom, through project advising, or via online or</w:t>
      </w:r>
      <w:r>
        <w:t xml:space="preserve"> </w:t>
      </w:r>
      <w:r>
        <w:t xml:space="preserve">blended courses - is a necessary but not sufficient requirement for</w:t>
      </w:r>
      <w:r>
        <w:t xml:space="preserve"> </w:t>
      </w:r>
      <w:r>
        <w:t xml:space="preserve">obtaining tenure as a Professor of Teaching at WPI. Teaching practice</w:t>
      </w:r>
      <w:r>
        <w:t xml:space="preserve"> </w:t>
      </w:r>
      <w:r>
        <w:t xml:space="preserve">is excellent when it is of high quality and has significant impact on</w:t>
      </w:r>
      <w:r>
        <w:t xml:space="preserve"> </w:t>
      </w:r>
      <w:r>
        <w:t xml:space="preserve">WPI students and curriculum.</w:t>
      </w:r>
    </w:p>
    <w:p>
      <w:pPr>
        <w:pStyle w:val="BodyText"/>
      </w:pPr>
      <w:r>
        <w:t xml:space="preserve">In any teaching setting, faculty members must communicate in</w:t>
      </w:r>
      <w:r>
        <w:t xml:space="preserve"> </w:t>
      </w:r>
      <w:r>
        <w:t xml:space="preserve">compelling ways that demonstrably enhance the educational growth of</w:t>
      </w:r>
      <w:r>
        <w:t xml:space="preserve"> </w:t>
      </w:r>
      <w:r>
        <w:t xml:space="preserve">their students. Effective teachers develop students as creative</w:t>
      </w:r>
      <w:r>
        <w:t xml:space="preserve"> </w:t>
      </w:r>
      <w:r>
        <w:t xml:space="preserve">thinkers, life-long learners, and effective communicators able to use</w:t>
      </w:r>
      <w:r>
        <w:t xml:space="preserve"> </w:t>
      </w:r>
      <w:r>
        <w:t xml:space="preserve">evidence with logic, clarity, and persuasion. Effective teachers draw</w:t>
      </w:r>
      <w:r>
        <w:t xml:space="preserve"> </w:t>
      </w:r>
      <w:r>
        <w:t xml:space="preserve">on many skills to support student learning that may include but are</w:t>
      </w:r>
      <w:r>
        <w:t xml:space="preserve"> </w:t>
      </w:r>
      <w:r>
        <w:t xml:space="preserve">not limited to the following (as needed):</w:t>
      </w:r>
    </w:p>
    <w:p>
      <w:pPr>
        <w:numPr>
          <w:ilvl w:val="0"/>
          <w:numId w:val="1008"/>
        </w:numPr>
        <w:pStyle w:val="Compact"/>
      </w:pPr>
      <w:r>
        <w:t xml:space="preserve">Expertise in and enthusiasm for the subjects taught and projects</w:t>
      </w:r>
      <w:r>
        <w:t xml:space="preserve"> </w:t>
      </w:r>
      <w:r>
        <w:t xml:space="preserve">advised;</w:t>
      </w:r>
    </w:p>
    <w:p>
      <w:pPr>
        <w:numPr>
          <w:ilvl w:val="0"/>
          <w:numId w:val="1008"/>
        </w:numPr>
        <w:pStyle w:val="Compact"/>
      </w:pPr>
      <w:r>
        <w:t xml:space="preserve">Clear and effective communication of concepts and material taught;</w:t>
      </w:r>
    </w:p>
    <w:p>
      <w:pPr>
        <w:numPr>
          <w:ilvl w:val="0"/>
          <w:numId w:val="1008"/>
        </w:numPr>
        <w:pStyle w:val="Compact"/>
      </w:pPr>
      <w:r>
        <w:t xml:space="preserve">Awareness of the strengths, weaknesses, and educational needs of</w:t>
      </w:r>
      <w:r>
        <w:t xml:space="preserve"> </w:t>
      </w:r>
      <w:r>
        <w:t xml:space="preserve">their students;</w:t>
      </w:r>
    </w:p>
    <w:p>
      <w:pPr>
        <w:numPr>
          <w:ilvl w:val="0"/>
          <w:numId w:val="1008"/>
        </w:numPr>
        <w:pStyle w:val="Compact"/>
      </w:pPr>
      <w:r>
        <w:t xml:space="preserve">Development of general strategies for the successful educational</w:t>
      </w:r>
      <w:r>
        <w:t xml:space="preserve"> </w:t>
      </w:r>
      <w:r>
        <w:t xml:space="preserve">advancement of all students;</w:t>
      </w:r>
    </w:p>
    <w:p>
      <w:pPr>
        <w:numPr>
          <w:ilvl w:val="0"/>
          <w:numId w:val="1008"/>
        </w:numPr>
        <w:pStyle w:val="Compact"/>
      </w:pPr>
      <w:r>
        <w:t xml:space="preserve">Ability to make suitable adjustments to content, organization, and</w:t>
      </w:r>
      <w:r>
        <w:t xml:space="preserve"> </w:t>
      </w:r>
      <w:r>
        <w:t xml:space="preserve">pacing of course and project work to support student learning and</w:t>
      </w:r>
      <w:r>
        <w:t xml:space="preserve"> </w:t>
      </w:r>
      <w:r>
        <w:t xml:space="preserve">engagement;</w:t>
      </w:r>
    </w:p>
    <w:p>
      <w:pPr>
        <w:numPr>
          <w:ilvl w:val="0"/>
          <w:numId w:val="1008"/>
        </w:numPr>
        <w:pStyle w:val="Compact"/>
      </w:pPr>
      <w:r>
        <w:t xml:space="preserve">Development of inclusive strategies that ensure the success of a</w:t>
      </w:r>
      <w:r>
        <w:t xml:space="preserve"> </w:t>
      </w:r>
      <w:r>
        <w:t xml:space="preserve">more diverse student population;</w:t>
      </w:r>
    </w:p>
    <w:p>
      <w:pPr>
        <w:numPr>
          <w:ilvl w:val="0"/>
          <w:numId w:val="1008"/>
        </w:numPr>
        <w:pStyle w:val="Compact"/>
      </w:pPr>
      <w:r>
        <w:t xml:space="preserve">Devotion to personalized professional mentorship of students and/or</w:t>
      </w:r>
      <w:r>
        <w:t xml:space="preserve"> </w:t>
      </w:r>
      <w:r>
        <w:t xml:space="preserve">advisees, including as Insight and academic advisors.</w:t>
      </w:r>
    </w:p>
    <w:p>
      <w:pPr>
        <w:pStyle w:val="FirstParagraph"/>
      </w:pPr>
      <w:r>
        <w:rPr>
          <w:i/>
        </w:rPr>
        <w:t xml:space="preserve">Continuing Professional Growth and Currency:</w:t>
      </w:r>
      <w:r>
        <w:t xml:space="preserve"> </w:t>
      </w:r>
      <w:r>
        <w:t xml:space="preserve">Continuing professional growth and currency is a necessary but not</w:t>
      </w:r>
      <w:r>
        <w:t xml:space="preserve"> </w:t>
      </w:r>
      <w:r>
        <w:t xml:space="preserve">sufficient requirement for obtaining tenure as a Teaching Professor at</w:t>
      </w:r>
      <w:r>
        <w:t xml:space="preserve"> </w:t>
      </w:r>
      <w:r>
        <w:t xml:space="preserve">WPI. Professional growth refers to developing knowledge, acquiring</w:t>
      </w:r>
      <w:r>
        <w:t xml:space="preserve"> </w:t>
      </w:r>
      <w:r>
        <w:t xml:space="preserve">skills, and/or accumulating experiences that enhance WPI's educational</w:t>
      </w:r>
      <w:r>
        <w:t xml:space="preserve"> </w:t>
      </w:r>
      <w:r>
        <w:t xml:space="preserve">mission and visibility. Currency refers to making intellectual</w:t>
      </w:r>
      <w:r>
        <w:t xml:space="preserve"> </w:t>
      </w:r>
      <w:r>
        <w:t xml:space="preserve">contributions to and remaining active in professional communities both</w:t>
      </w:r>
      <w:r>
        <w:t xml:space="preserve"> </w:t>
      </w:r>
      <w:r>
        <w:t xml:space="preserve">within and beyond WPI.</w:t>
      </w:r>
      <w:r>
        <w:rPr>
          <w:rStyle w:val="FootnoteReference"/>
        </w:rPr>
        <w:footnoteReference w:id="41"/>
      </w:r>
    </w:p>
    <w:p>
      <w:pPr>
        <w:pStyle w:val="BodyText"/>
      </w:pPr>
      <w:r>
        <w:t xml:space="preserve">Professors of Teaching are committed to meaningful professional growth</w:t>
      </w:r>
      <w:r>
        <w:t xml:space="preserve"> </w:t>
      </w:r>
      <w:r>
        <w:t xml:space="preserve">and currency that has significant impact on teaching and learning</w:t>
      </w:r>
      <w:r>
        <w:t xml:space="preserve"> </w:t>
      </w:r>
      <w:r>
        <w:t xml:space="preserve">networks and support systems, on approaches to and understanding of</w:t>
      </w:r>
      <w:r>
        <w:t xml:space="preserve"> </w:t>
      </w:r>
      <w:r>
        <w:t xml:space="preserve">teaching and learning, and/or on one's own scholarly discipline and/or</w:t>
      </w:r>
      <w:r>
        <w:t xml:space="preserve"> </w:t>
      </w:r>
      <w:r>
        <w:t xml:space="preserve">scholarly communities.</w:t>
      </w:r>
    </w:p>
    <w:p>
      <w:pPr>
        <w:pStyle w:val="BodyText"/>
      </w:pPr>
      <w:r>
        <w:t xml:space="preserve">Professors of Teaching seek opportunities for ongoing professional</w:t>
      </w:r>
      <w:r>
        <w:t xml:space="preserve"> </w:t>
      </w:r>
      <w:r>
        <w:t xml:space="preserve">growth and currency, especially in ways that inform their own teaching</w:t>
      </w:r>
      <w:r>
        <w:t xml:space="preserve"> </w:t>
      </w:r>
      <w:r>
        <w:t xml:space="preserve">experiments and innovations and disseminate this knowledge to others</w:t>
      </w:r>
      <w:r>
        <w:t xml:space="preserve"> </w:t>
      </w:r>
      <w:r>
        <w:t xml:space="preserve">within and outside of WPI. Professional growth and currency for these</w:t>
      </w:r>
      <w:r>
        <w:t xml:space="preserve"> </w:t>
      </w:r>
      <w:r>
        <w:t xml:space="preserve">purposes takes on many forms that may include but are not limited to</w:t>
      </w:r>
      <w:r>
        <w:t xml:space="preserve"> </w:t>
      </w:r>
      <w:r>
        <w:t xml:space="preserve">the following (as appropriate):</w:t>
      </w:r>
    </w:p>
    <w:p>
      <w:pPr>
        <w:numPr>
          <w:ilvl w:val="0"/>
          <w:numId w:val="1009"/>
        </w:numPr>
        <w:pStyle w:val="Compact"/>
      </w:pPr>
      <w:r>
        <w:t xml:space="preserve">Assessing and improving courses, projects, curricula, and pedagogy,</w:t>
      </w:r>
      <w:r>
        <w:t xml:space="preserve"> </w:t>
      </w:r>
      <w:r>
        <w:t xml:space="preserve">and sharing their own pedagogical and scholarly discoveries as these</w:t>
      </w:r>
      <w:r>
        <w:t xml:space="preserve"> </w:t>
      </w:r>
      <w:r>
        <w:t xml:space="preserve">emerge;</w:t>
      </w:r>
    </w:p>
    <w:p>
      <w:pPr>
        <w:numPr>
          <w:ilvl w:val="0"/>
          <w:numId w:val="1009"/>
        </w:numPr>
        <w:pStyle w:val="Compact"/>
      </w:pPr>
      <w:r>
        <w:t xml:space="preserve">Questioning existing teaching boundaries and experimenting with</w:t>
      </w:r>
      <w:r>
        <w:t xml:space="preserve"> </w:t>
      </w:r>
      <w:r>
        <w:t xml:space="preserve">ideas that overcome the constraints of current teaching practice;</w:t>
      </w:r>
    </w:p>
    <w:p>
      <w:pPr>
        <w:numPr>
          <w:ilvl w:val="0"/>
          <w:numId w:val="1009"/>
        </w:numPr>
        <w:pStyle w:val="Compact"/>
      </w:pPr>
      <w:r>
        <w:t xml:space="preserve">Remaining active as scholars through the scholarship of discovery,</w:t>
      </w:r>
      <w:r>
        <w:t xml:space="preserve"> </w:t>
      </w:r>
      <w:r>
        <w:t xml:space="preserve">teaching and learning, integration, application and practice, or</w:t>
      </w:r>
      <w:r>
        <w:t xml:space="preserve"> </w:t>
      </w:r>
      <w:r>
        <w:t xml:space="preserve">engagement;</w:t>
      </w:r>
    </w:p>
    <w:p>
      <w:pPr>
        <w:numPr>
          <w:ilvl w:val="0"/>
          <w:numId w:val="1009"/>
        </w:numPr>
        <w:pStyle w:val="Compact"/>
      </w:pPr>
      <w:r>
        <w:t xml:space="preserve">Continuing to learn about developments in the field of education to</w:t>
      </w:r>
      <w:r>
        <w:t xml:space="preserve"> </w:t>
      </w:r>
      <w:r>
        <w:t xml:space="preserve">enhance their practice of teaching and educating others of their</w:t>
      </w:r>
      <w:r>
        <w:t xml:space="preserve"> </w:t>
      </w:r>
      <w:r>
        <w:t xml:space="preserve">innovations within and/or outside of WPI;</w:t>
      </w:r>
    </w:p>
    <w:p>
      <w:pPr>
        <w:numPr>
          <w:ilvl w:val="0"/>
          <w:numId w:val="1009"/>
        </w:numPr>
        <w:pStyle w:val="Compact"/>
      </w:pPr>
      <w:r>
        <w:t xml:space="preserve">Remaining current in their disciplines and incorporating recent</w:t>
      </w:r>
      <w:r>
        <w:t xml:space="preserve"> </w:t>
      </w:r>
      <w:r>
        <w:t xml:space="preserve">developments in the field into their course teaching and project</w:t>
      </w:r>
      <w:r>
        <w:t xml:space="preserve"> </w:t>
      </w:r>
      <w:r>
        <w:t xml:space="preserve">advising;</w:t>
      </w:r>
    </w:p>
    <w:p>
      <w:pPr>
        <w:numPr>
          <w:ilvl w:val="0"/>
          <w:numId w:val="1009"/>
        </w:numPr>
        <w:pStyle w:val="Compact"/>
      </w:pPr>
      <w:r>
        <w:t xml:space="preserve">Understanding student learning and developing creative new</w:t>
      </w:r>
      <w:r>
        <w:t xml:space="preserve"> </w:t>
      </w:r>
      <w:r>
        <w:t xml:space="preserve">approaches to teaching when needed to improve student learning;</w:t>
      </w:r>
    </w:p>
    <w:p>
      <w:pPr>
        <w:pStyle w:val="FirstParagraph"/>
      </w:pPr>
      <w:r>
        <w:rPr>
          <w:i/>
        </w:rPr>
        <w:t xml:space="preserve">Service:</w:t>
      </w:r>
      <w:r>
        <w:t xml:space="preserve"> </w:t>
      </w:r>
      <w:r>
        <w:t xml:space="preserve">Service is a necessary but not sufficient requirement for obtaining</w:t>
      </w:r>
      <w:r>
        <w:t xml:space="preserve"> </w:t>
      </w:r>
      <w:r>
        <w:t xml:space="preserve">tenure as a Professor of Teaching at WPI. The institution flourishes</w:t>
      </w:r>
      <w:r>
        <w:t xml:space="preserve"> </w:t>
      </w:r>
      <w:r>
        <w:t xml:space="preserve">when faculty members are fully engaged not only in their classrooms</w:t>
      </w:r>
      <w:r>
        <w:t xml:space="preserve"> </w:t>
      </w:r>
      <w:r>
        <w:t xml:space="preserve">and project advising but also in the lives of the institution, the</w:t>
      </w:r>
      <w:r>
        <w:t xml:space="preserve"> </w:t>
      </w:r>
      <w:r>
        <w:t xml:space="preserve">local community, and professional organizations. Effective faculty</w:t>
      </w:r>
      <w:r>
        <w:t xml:space="preserve"> </w:t>
      </w:r>
      <w:r>
        <w:t xml:space="preserve">members exploit opportunities to contribute to these various</w:t>
      </w:r>
      <w:r>
        <w:t xml:space="preserve"> </w:t>
      </w:r>
      <w:r>
        <w:t xml:space="preserve">communities.</w:t>
      </w:r>
    </w:p>
    <w:p>
      <w:pPr>
        <w:pStyle w:val="Heading3"/>
      </w:pPr>
      <w:bookmarkStart w:id="42" w:name="chapter-3-section-3c"/>
      <w:r>
        <w:t xml:space="preserve">c. Guidance for Documenting and Assessing Activities Toward Tenure for Professors of Teaching</w:t>
      </w:r>
      <w:bookmarkEnd w:id="42"/>
    </w:p>
    <w:p>
      <w:pPr>
        <w:pStyle w:val="FirstParagraph"/>
      </w:pPr>
      <w:r>
        <w:t xml:space="preserve">(Approved by the Faculty,</w:t>
      </w:r>
      <w:r>
        <w:t xml:space="preserve"> </w:t>
      </w:r>
      <w:r>
        <w:rPr>
          <w:i/>
        </w:rPr>
        <w:t xml:space="preserve">January 28, 2021</w:t>
      </w:r>
      <w:r>
        <w:t xml:space="preserve">)</w:t>
      </w:r>
    </w:p>
    <w:p>
      <w:pPr>
        <w:pStyle w:val="BodyText"/>
      </w:pPr>
      <w:r>
        <w:rPr>
          <w:i/>
        </w:rPr>
        <w:t xml:space="preserve">For Documentation and Assessment of Teaching Practice:</w:t>
      </w:r>
      <w:r>
        <w:t xml:space="preserve"> </w:t>
      </w:r>
      <w:r>
        <w:t xml:space="preserve">When reviewed for tenure, each candidate is expected to submit a</w:t>
      </w:r>
      <w:r>
        <w:t xml:space="preserve"> </w:t>
      </w:r>
      <w:r>
        <w:t xml:space="preserve">teaching portfolio that best demonstrates excellent teaching as</w:t>
      </w:r>
      <w:r>
        <w:t xml:space="preserve"> </w:t>
      </w:r>
      <w:r>
        <w:t xml:space="preserve">measured by the quality and impact of their teaching skills and</w:t>
      </w:r>
      <w:r>
        <w:t xml:space="preserve"> </w:t>
      </w:r>
      <w:r>
        <w:t xml:space="preserve">activities. The teaching portfolio typically includes a thoughtful</w:t>
      </w:r>
      <w:r>
        <w:t xml:space="preserve"> </w:t>
      </w:r>
      <w:r>
        <w:t xml:space="preserve">statement about the candidate's teaching practices, accomplishments,</w:t>
      </w:r>
      <w:r>
        <w:t xml:space="preserve"> </w:t>
      </w:r>
      <w:r>
        <w:t xml:space="preserve">and approach, as well as sample materials that demonstrates teaching</w:t>
      </w:r>
      <w:r>
        <w:t xml:space="preserve"> </w:t>
      </w:r>
      <w:r>
        <w:t xml:space="preserve">quality and impact.</w:t>
      </w:r>
    </w:p>
    <w:p>
      <w:pPr>
        <w:pStyle w:val="BodyText"/>
      </w:pPr>
      <w:r>
        <w:t xml:space="preserve">Teaching activities may include but are not limited to the following:</w:t>
      </w:r>
    </w:p>
    <w:p>
      <w:pPr>
        <w:numPr>
          <w:ilvl w:val="0"/>
          <w:numId w:val="1010"/>
        </w:numPr>
        <w:pStyle w:val="Compact"/>
      </w:pPr>
      <w:r>
        <w:t xml:space="preserve">Courses delivered, designed, and/or redesigned in any format for</w:t>
      </w:r>
      <w:r>
        <w:t xml:space="preserve"> </w:t>
      </w:r>
      <w:r>
        <w:t xml:space="preserve">undergraduate, graduate, or continuing education students;</w:t>
      </w:r>
    </w:p>
    <w:p>
      <w:pPr>
        <w:numPr>
          <w:ilvl w:val="0"/>
          <w:numId w:val="1010"/>
        </w:numPr>
        <w:pStyle w:val="Compact"/>
      </w:pPr>
      <w:r>
        <w:t xml:space="preserve">Major Qualifying Projects, Interactive Qualifying Projects, and HUA</w:t>
      </w:r>
      <w:r>
        <w:t xml:space="preserve"> </w:t>
      </w:r>
      <w:r>
        <w:t xml:space="preserve">Inquiry Seminars and Practicums advised or co-advised;</w:t>
      </w:r>
    </w:p>
    <w:p>
      <w:pPr>
        <w:numPr>
          <w:ilvl w:val="0"/>
          <w:numId w:val="1010"/>
        </w:numPr>
        <w:pStyle w:val="Compact"/>
      </w:pPr>
      <w:r>
        <w:t xml:space="preserve">Dissertations, theses, and research projects advised and co-advised;</w:t>
      </w:r>
    </w:p>
    <w:p>
      <w:pPr>
        <w:numPr>
          <w:ilvl w:val="0"/>
          <w:numId w:val="1010"/>
        </w:numPr>
        <w:pStyle w:val="Compact"/>
      </w:pPr>
      <w:r>
        <w:t xml:space="preserve">Independent studies supervised;</w:t>
      </w:r>
    </w:p>
    <w:p>
      <w:pPr>
        <w:numPr>
          <w:ilvl w:val="0"/>
          <w:numId w:val="1010"/>
        </w:numPr>
        <w:pStyle w:val="Compact"/>
      </w:pPr>
      <w:r>
        <w:t xml:space="preserve">Project centers developed, directed, or co-directed;</w:t>
      </w:r>
    </w:p>
    <w:p>
      <w:pPr>
        <w:numPr>
          <w:ilvl w:val="0"/>
          <w:numId w:val="1010"/>
        </w:numPr>
        <w:pStyle w:val="Compact"/>
      </w:pPr>
      <w:r>
        <w:t xml:space="preserve">Students and research trainees advised or mentored.</w:t>
      </w:r>
    </w:p>
    <w:p>
      <w:pPr>
        <w:pStyle w:val="FirstParagraph"/>
      </w:pPr>
      <w:r>
        <w:t xml:space="preserve">The quality of each candidate's teaching activities will be assessed</w:t>
      </w:r>
      <w:r>
        <w:t xml:space="preserve"> </w:t>
      </w:r>
      <w:r>
        <w:t xml:space="preserve">for supporting evidence such as - but not limited to - the following:</w:t>
      </w:r>
    </w:p>
    <w:p>
      <w:pPr>
        <w:numPr>
          <w:ilvl w:val="0"/>
          <w:numId w:val="1011"/>
        </w:numPr>
        <w:pStyle w:val="Compact"/>
      </w:pPr>
      <w:r>
        <w:t xml:space="preserve">Course and project goals that are clear and appropriately</w:t>
      </w:r>
      <w:r>
        <w:t xml:space="preserve"> </w:t>
      </w:r>
      <w:r>
        <w:t xml:space="preserve">challenging, and content that is appropriate to the goals;</w:t>
      </w:r>
    </w:p>
    <w:p>
      <w:pPr>
        <w:numPr>
          <w:ilvl w:val="0"/>
          <w:numId w:val="1011"/>
        </w:numPr>
        <w:pStyle w:val="Compact"/>
      </w:pPr>
      <w:r>
        <w:t xml:space="preserve">Course activities that are well planned and reflect an effective</w:t>
      </w:r>
      <w:r>
        <w:t xml:space="preserve"> </w:t>
      </w:r>
      <w:r>
        <w:t xml:space="preserve">approach to helping students learn;</w:t>
      </w:r>
    </w:p>
    <w:p>
      <w:pPr>
        <w:numPr>
          <w:ilvl w:val="0"/>
          <w:numId w:val="1011"/>
        </w:numPr>
        <w:pStyle w:val="Compact"/>
      </w:pPr>
      <w:r>
        <w:t xml:space="preserve">Experiments with new pedagogical techniques;</w:t>
      </w:r>
    </w:p>
    <w:p>
      <w:pPr>
        <w:numPr>
          <w:ilvl w:val="0"/>
          <w:numId w:val="1011"/>
        </w:numPr>
        <w:pStyle w:val="Compact"/>
      </w:pPr>
      <w:r>
        <w:t xml:space="preserve">Modifications to existing courses based on well-grounded rationale;</w:t>
      </w:r>
    </w:p>
    <w:p>
      <w:pPr>
        <w:numPr>
          <w:ilvl w:val="0"/>
          <w:numId w:val="1011"/>
        </w:numPr>
        <w:pStyle w:val="Compact"/>
      </w:pPr>
      <w:r>
        <w:t xml:space="preserve">Efforts to support the success of diverse students and students with</w:t>
      </w:r>
      <w:r>
        <w:t xml:space="preserve"> </w:t>
      </w:r>
      <w:r>
        <w:t xml:space="preserve">a range of learning styles;</w:t>
      </w:r>
    </w:p>
    <w:p>
      <w:pPr>
        <w:numPr>
          <w:ilvl w:val="0"/>
          <w:numId w:val="1011"/>
        </w:numPr>
        <w:pStyle w:val="Compact"/>
      </w:pPr>
      <w:r>
        <w:t xml:space="preserve">Statements and self-reflections demonstrating how one's learning</w:t>
      </w:r>
      <w:r>
        <w:t xml:space="preserve"> </w:t>
      </w:r>
      <w:r>
        <w:t xml:space="preserve">design is grounded in current educational research;</w:t>
      </w:r>
    </w:p>
    <w:p>
      <w:pPr>
        <w:numPr>
          <w:ilvl w:val="0"/>
          <w:numId w:val="1011"/>
        </w:numPr>
        <w:pStyle w:val="Compact"/>
      </w:pPr>
      <w:r>
        <w:t xml:space="preserve">Use of feedback from students and faculty peers;</w:t>
      </w:r>
    </w:p>
    <w:p>
      <w:pPr>
        <w:numPr>
          <w:ilvl w:val="0"/>
          <w:numId w:val="1011"/>
        </w:numPr>
        <w:pStyle w:val="Compact"/>
      </w:pPr>
      <w:r>
        <w:t xml:space="preserve">Leadership demonstrated at project centers.</w:t>
      </w:r>
    </w:p>
    <w:p>
      <w:pPr>
        <w:pStyle w:val="FirstParagraph"/>
      </w:pPr>
      <w:r>
        <w:t xml:space="preserve">The impact of each candidate's teaching activities on students, on</w:t>
      </w:r>
      <w:r>
        <w:t xml:space="preserve"> </w:t>
      </w:r>
      <w:r>
        <w:t xml:space="preserve">curriculum, and on teaching practice (through one's own teaching</w:t>
      </w:r>
      <w:r>
        <w:t xml:space="preserve"> </w:t>
      </w:r>
      <w:r>
        <w:t xml:space="preserve">practices and/or those of their WPI colleagues or their department)</w:t>
      </w:r>
      <w:r>
        <w:t xml:space="preserve"> </w:t>
      </w:r>
      <w:r>
        <w:t xml:space="preserve">will be assessed for supporting evidence such as - but not limited to</w:t>
      </w:r>
      <w:r>
        <w:t xml:space="preserve"> </w:t>
      </w:r>
      <w:r>
        <w:t xml:space="preserve">- the following:</w:t>
      </w:r>
    </w:p>
    <w:p>
      <w:pPr>
        <w:numPr>
          <w:ilvl w:val="0"/>
          <w:numId w:val="1012"/>
        </w:numPr>
        <w:pStyle w:val="Compact"/>
      </w:pPr>
      <w:r>
        <w:t xml:space="preserve">Student learning outcomes assessment, student engagement, program</w:t>
      </w:r>
      <w:r>
        <w:t xml:space="preserve"> </w:t>
      </w:r>
      <w:r>
        <w:t xml:space="preserve">outcomes, student well-being, and other measures of student success;</w:t>
      </w:r>
    </w:p>
    <w:p>
      <w:pPr>
        <w:numPr>
          <w:ilvl w:val="0"/>
          <w:numId w:val="1012"/>
        </w:numPr>
        <w:pStyle w:val="Compact"/>
      </w:pPr>
      <w:r>
        <w:t xml:space="preserve">Changes in program curriculum;</w:t>
      </w:r>
    </w:p>
    <w:p>
      <w:pPr>
        <w:numPr>
          <w:ilvl w:val="0"/>
          <w:numId w:val="1012"/>
        </w:numPr>
        <w:pStyle w:val="Compact"/>
      </w:pPr>
      <w:r>
        <w:t xml:space="preserve">Assessments demonstrating that course, project or program</w:t>
      </w:r>
      <w:r>
        <w:t xml:space="preserve"> </w:t>
      </w:r>
      <w:r>
        <w:t xml:space="preserve">improvements have led to gains in student learning in the short term</w:t>
      </w:r>
      <w:r>
        <w:t xml:space="preserve"> </w:t>
      </w:r>
      <w:r>
        <w:t xml:space="preserve">and/or over time;</w:t>
      </w:r>
    </w:p>
    <w:p>
      <w:pPr>
        <w:numPr>
          <w:ilvl w:val="0"/>
          <w:numId w:val="1012"/>
        </w:numPr>
        <w:pStyle w:val="Compact"/>
      </w:pPr>
      <w:r>
        <w:t xml:space="preserve">Influence on faculty peers (evidenced in the form of letters and/or</w:t>
      </w:r>
      <w:r>
        <w:t xml:space="preserve"> </w:t>
      </w:r>
      <w:r>
        <w:t xml:space="preserve">rubrics, including from project co-advisors);</w:t>
      </w:r>
    </w:p>
    <w:p>
      <w:pPr>
        <w:numPr>
          <w:ilvl w:val="0"/>
          <w:numId w:val="1012"/>
        </w:numPr>
        <w:pStyle w:val="Compact"/>
      </w:pPr>
      <w:r>
        <w:t xml:space="preserve">Student reflections on their experiences in MQPs, IQPs, and HUA</w:t>
      </w:r>
      <w:r>
        <w:t xml:space="preserve"> </w:t>
      </w:r>
      <w:r>
        <w:t xml:space="preserve">Inquiry Seminars and Practicums;</w:t>
      </w:r>
    </w:p>
    <w:p>
      <w:pPr>
        <w:numPr>
          <w:ilvl w:val="0"/>
          <w:numId w:val="1012"/>
        </w:numPr>
        <w:pStyle w:val="Compact"/>
      </w:pPr>
      <w:r>
        <w:t xml:space="preserve">Student reflections on their experiences in dissertation, thesis, or</w:t>
      </w:r>
      <w:r>
        <w:t xml:space="preserve"> </w:t>
      </w:r>
      <w:r>
        <w:t xml:space="preserve">research projects;</w:t>
      </w:r>
    </w:p>
    <w:p>
      <w:pPr>
        <w:numPr>
          <w:ilvl w:val="0"/>
          <w:numId w:val="1012"/>
        </w:numPr>
        <w:pStyle w:val="Compact"/>
      </w:pPr>
      <w:r>
        <w:t xml:space="preserve">Feedback from project sponsors;</w:t>
      </w:r>
    </w:p>
    <w:p>
      <w:pPr>
        <w:numPr>
          <w:ilvl w:val="0"/>
          <w:numId w:val="1012"/>
        </w:numPr>
        <w:pStyle w:val="Compact"/>
      </w:pPr>
      <w:r>
        <w:t xml:space="preserve">Relevant awards, honors, or positive media coverage;</w:t>
      </w:r>
    </w:p>
    <w:p>
      <w:pPr>
        <w:numPr>
          <w:ilvl w:val="0"/>
          <w:numId w:val="1012"/>
        </w:numPr>
        <w:pStyle w:val="Compact"/>
      </w:pPr>
      <w:r>
        <w:t xml:space="preserve">Evaluations by students (through student course evaluations and</w:t>
      </w:r>
      <w:r>
        <w:t xml:space="preserve"> </w:t>
      </w:r>
      <w:r>
        <w:t xml:space="preserve">surveys of former students).</w:t>
      </w:r>
    </w:p>
    <w:p>
      <w:pPr>
        <w:pStyle w:val="FirstParagraph"/>
      </w:pPr>
      <w:r>
        <w:rPr>
          <w:i/>
        </w:rPr>
        <w:t xml:space="preserve">For Documentation and Assessment of Continuing Professional Growth</w:t>
      </w:r>
      <w:r>
        <w:rPr>
          <w:i/>
        </w:rPr>
        <w:t xml:space="preserve"> </w:t>
      </w:r>
      <w:r>
        <w:rPr>
          <w:i/>
        </w:rPr>
        <w:t xml:space="preserve">and Currency:</w:t>
      </w:r>
      <w:r>
        <w:t xml:space="preserve"> </w:t>
      </w:r>
      <w:r>
        <w:t xml:space="preserve">When reviewed for tenure, each candidate is expected to submit</w:t>
      </w:r>
      <w:r>
        <w:t xml:space="preserve"> </w:t>
      </w:r>
      <w:r>
        <w:t xml:space="preserve">materials that best demonstrate their commitment to and the impact of</w:t>
      </w:r>
      <w:r>
        <w:t xml:space="preserve"> </w:t>
      </w:r>
      <w:r>
        <w:t xml:space="preserve">their continuing professional growth and currency, including how it</w:t>
      </w:r>
      <w:r>
        <w:t xml:space="preserve"> </w:t>
      </w:r>
      <w:r>
        <w:t xml:space="preserve">enhances the effectiveness of the candidate's teaching and/or furthers</w:t>
      </w:r>
      <w:r>
        <w:t xml:space="preserve"> </w:t>
      </w:r>
      <w:r>
        <w:t xml:space="preserve">a general understanding of effective teaching practices.</w:t>
      </w:r>
    </w:p>
    <w:p>
      <w:pPr>
        <w:pStyle w:val="BodyText"/>
      </w:pPr>
      <w:r>
        <w:t xml:space="preserve">Commitment to continuing professional growth and currency can be</w:t>
      </w:r>
      <w:r>
        <w:t xml:space="preserve"> </w:t>
      </w:r>
      <w:r>
        <w:t xml:space="preserve">documented in a combination of many ways that may include but are not</w:t>
      </w:r>
      <w:r>
        <w:t xml:space="preserve"> </w:t>
      </w:r>
      <w:r>
        <w:t xml:space="preserve">limited to engaging in the following activities:</w:t>
      </w:r>
    </w:p>
    <w:p>
      <w:pPr>
        <w:numPr>
          <w:ilvl w:val="0"/>
          <w:numId w:val="1013"/>
        </w:numPr>
        <w:pStyle w:val="Compact"/>
      </w:pPr>
      <w:r>
        <w:t xml:space="preserve">Leadership by example, through continued innovation in approach and</w:t>
      </w:r>
      <w:r>
        <w:t xml:space="preserve"> </w:t>
      </w:r>
      <w:r>
        <w:t xml:space="preserve">enhancement of one's own teaching methods;</w:t>
      </w:r>
    </w:p>
    <w:p>
      <w:pPr>
        <w:numPr>
          <w:ilvl w:val="0"/>
          <w:numId w:val="1013"/>
        </w:numPr>
        <w:pStyle w:val="Compact"/>
      </w:pPr>
      <w:r>
        <w:t xml:space="preserve">Teaching collaborations with other faculty members, particularly in</w:t>
      </w:r>
      <w:r>
        <w:t xml:space="preserve"> </w:t>
      </w:r>
      <w:r>
        <w:t xml:space="preserve">new approaches, areas, or pedagogies;</w:t>
      </w:r>
    </w:p>
    <w:p>
      <w:pPr>
        <w:numPr>
          <w:ilvl w:val="0"/>
          <w:numId w:val="1013"/>
        </w:numPr>
        <w:pStyle w:val="Compact"/>
      </w:pPr>
      <w:r>
        <w:t xml:space="preserve">Development of methods of assessment that better measure educational outcomes;</w:t>
      </w:r>
    </w:p>
    <w:p>
      <w:pPr>
        <w:numPr>
          <w:ilvl w:val="0"/>
          <w:numId w:val="1013"/>
        </w:numPr>
        <w:pStyle w:val="Compact"/>
      </w:pPr>
      <w:r>
        <w:t xml:space="preserve">Record of active scholarship (of Discovery, Teaching and Learning,</w:t>
      </w:r>
      <w:r>
        <w:t xml:space="preserve"> </w:t>
      </w:r>
      <w:r>
        <w:t xml:space="preserve">Integration, Application and Practice, or Engagement);</w:t>
      </w:r>
    </w:p>
    <w:p>
      <w:pPr>
        <w:numPr>
          <w:ilvl w:val="0"/>
          <w:numId w:val="1013"/>
        </w:numPr>
        <w:pStyle w:val="Compact"/>
      </w:pPr>
      <w:r>
        <w:t xml:space="preserve">Research collaborations with other faculty members, including those</w:t>
      </w:r>
      <w:r>
        <w:t xml:space="preserve"> </w:t>
      </w:r>
      <w:r>
        <w:t xml:space="preserve">regarding teaching practices, theories, or outcomes;</w:t>
      </w:r>
    </w:p>
    <w:p>
      <w:pPr>
        <w:numPr>
          <w:ilvl w:val="0"/>
          <w:numId w:val="1013"/>
        </w:numPr>
        <w:pStyle w:val="Compact"/>
      </w:pPr>
      <w:r>
        <w:t xml:space="preserve">Involvement in professional and academic creative output, inclusive</w:t>
      </w:r>
      <w:r>
        <w:t xml:space="preserve"> </w:t>
      </w:r>
      <w:r>
        <w:t xml:space="preserve">of performance, visual, and written art forms;</w:t>
      </w:r>
    </w:p>
    <w:p>
      <w:pPr>
        <w:numPr>
          <w:ilvl w:val="0"/>
          <w:numId w:val="1013"/>
        </w:numPr>
        <w:pStyle w:val="Compact"/>
      </w:pPr>
      <w:r>
        <w:t xml:space="preserve">Organizing and/or participating in teaching institutes, professional</w:t>
      </w:r>
      <w:r>
        <w:t xml:space="preserve"> </w:t>
      </w:r>
      <w:r>
        <w:t xml:space="preserve">workshops, or professional conferences;</w:t>
      </w:r>
    </w:p>
    <w:p>
      <w:pPr>
        <w:numPr>
          <w:ilvl w:val="0"/>
          <w:numId w:val="1013"/>
        </w:numPr>
        <w:pStyle w:val="Compact"/>
      </w:pPr>
      <w:r>
        <w:t xml:space="preserve">Proposals submitted and grants awarded for funding related to</w:t>
      </w:r>
      <w:r>
        <w:t xml:space="preserve"> </w:t>
      </w:r>
      <w:r>
        <w:t xml:space="preserve">teaching improvements or experiments, scholarship, or fellowships;</w:t>
      </w:r>
    </w:p>
    <w:p>
      <w:pPr>
        <w:numPr>
          <w:ilvl w:val="0"/>
          <w:numId w:val="1013"/>
        </w:numPr>
        <w:pStyle w:val="Compact"/>
      </w:pPr>
      <w:r>
        <w:t xml:space="preserve">Participation as a mentor in programs within or outside of WPI;</w:t>
      </w:r>
    </w:p>
    <w:p>
      <w:pPr>
        <w:numPr>
          <w:ilvl w:val="0"/>
          <w:numId w:val="1013"/>
        </w:numPr>
        <w:pStyle w:val="Compact"/>
      </w:pPr>
      <w:r>
        <w:t xml:space="preserve">Participation in competitive external professional development programs;</w:t>
      </w:r>
    </w:p>
    <w:p>
      <w:pPr>
        <w:numPr>
          <w:ilvl w:val="0"/>
          <w:numId w:val="1013"/>
        </w:numPr>
        <w:pStyle w:val="Compact"/>
      </w:pPr>
      <w:r>
        <w:t xml:space="preserve">Service as a reviewer on national, regional, of local grants panels;</w:t>
      </w:r>
    </w:p>
    <w:p>
      <w:pPr>
        <w:numPr>
          <w:ilvl w:val="0"/>
          <w:numId w:val="1013"/>
        </w:numPr>
        <w:pStyle w:val="Compact"/>
      </w:pPr>
      <w:r>
        <w:t xml:space="preserve">Completion of professional short courses;</w:t>
      </w:r>
    </w:p>
    <w:p>
      <w:pPr>
        <w:numPr>
          <w:ilvl w:val="0"/>
          <w:numId w:val="1013"/>
        </w:numPr>
        <w:pStyle w:val="Compact"/>
      </w:pPr>
      <w:r>
        <w:t xml:space="preserve">Earned professional certifications.</w:t>
      </w:r>
    </w:p>
    <w:p>
      <w:pPr>
        <w:pStyle w:val="FirstParagraph"/>
      </w:pPr>
      <w:r>
        <w:t xml:space="preserve">The impact of professional growth and currency may be on approaches to</w:t>
      </w:r>
      <w:r>
        <w:t xml:space="preserve"> </w:t>
      </w:r>
      <w:r>
        <w:t xml:space="preserve">and understanding of teaching and learning, on teaching and learning</w:t>
      </w:r>
      <w:r>
        <w:t xml:space="preserve"> </w:t>
      </w:r>
      <w:r>
        <w:t xml:space="preserve">networks and support systems (through delivery of workshops, seminars,</w:t>
      </w:r>
      <w:r>
        <w:t xml:space="preserve"> </w:t>
      </w:r>
      <w:r>
        <w:t xml:space="preserve">mentorship, training; involvement in communities of practice, etc.);</w:t>
      </w:r>
      <w:r>
        <w:t xml:space="preserve"> </w:t>
      </w:r>
      <w:r>
        <w:t xml:space="preserve">or on one's own scholarly discipline and/or scholarly communities.</w:t>
      </w:r>
      <w:r>
        <w:t xml:space="preserve"> </w:t>
      </w:r>
      <w:r>
        <w:t xml:space="preserve">Such impact can be documented in a combination of many ways that may</w:t>
      </w:r>
      <w:r>
        <w:t xml:space="preserve"> </w:t>
      </w:r>
      <w:r>
        <w:t xml:space="preserve">include but are not limited to the following:</w:t>
      </w:r>
    </w:p>
    <w:p>
      <w:pPr>
        <w:numPr>
          <w:ilvl w:val="0"/>
          <w:numId w:val="1014"/>
        </w:numPr>
        <w:pStyle w:val="Compact"/>
      </w:pPr>
      <w:r>
        <w:t xml:space="preserve">New courses, curricula and/or academic programs based on emerging</w:t>
      </w:r>
      <w:r>
        <w:t xml:space="preserve"> </w:t>
      </w:r>
      <w:r>
        <w:t xml:space="preserve">new fields, topics of contemporary relevance and/or</w:t>
      </w:r>
      <w:r>
        <w:t xml:space="preserve"> </w:t>
      </w:r>
      <w:r>
        <w:t xml:space="preserve">interdisciplinary connections between emerging and/or existing areas</w:t>
      </w:r>
      <w:r>
        <w:t xml:space="preserve"> </w:t>
      </w:r>
      <w:r>
        <w:t xml:space="preserve">(including data on enrollments and students positively affected);</w:t>
      </w:r>
    </w:p>
    <w:p>
      <w:pPr>
        <w:numPr>
          <w:ilvl w:val="0"/>
          <w:numId w:val="1014"/>
        </w:numPr>
        <w:pStyle w:val="Compact"/>
      </w:pPr>
      <w:r>
        <w:t xml:space="preserve">Significant revisions to existing curricula and/or academic programs</w:t>
      </w:r>
      <w:r>
        <w:t xml:space="preserve"> </w:t>
      </w:r>
      <w:r>
        <w:t xml:space="preserve">based on the changing content of a disciplinary field, the emergence</w:t>
      </w:r>
      <w:r>
        <w:t xml:space="preserve"> </w:t>
      </w:r>
      <w:r>
        <w:t xml:space="preserve">of a new field, and/or interdisciplinary connections between</w:t>
      </w:r>
      <w:r>
        <w:t xml:space="preserve"> </w:t>
      </w:r>
      <w:r>
        <w:t xml:space="preserve">emerging and/or existing areas that had not previously been</w:t>
      </w:r>
      <w:r>
        <w:t xml:space="preserve"> </w:t>
      </w:r>
      <w:r>
        <w:t xml:space="preserve">available to WPI students (including data on enrollments and</w:t>
      </w:r>
      <w:r>
        <w:t xml:space="preserve"> </w:t>
      </w:r>
      <w:r>
        <w:t xml:space="preserve">students positively affected);</w:t>
      </w:r>
    </w:p>
    <w:p>
      <w:pPr>
        <w:numPr>
          <w:ilvl w:val="0"/>
          <w:numId w:val="1014"/>
        </w:numPr>
        <w:pStyle w:val="Compact"/>
      </w:pPr>
      <w:r>
        <w:t xml:space="preserve">Demonstrably effective new or improved techniques or strategies to</w:t>
      </w:r>
      <w:r>
        <w:t xml:space="preserve"> </w:t>
      </w:r>
      <w:r>
        <w:t xml:space="preserve">engage students in in the classroom, via online delivery, or project</w:t>
      </w:r>
      <w:r>
        <w:t xml:space="preserve"> </w:t>
      </w:r>
      <w:r>
        <w:t xml:space="preserve">advising;</w:t>
      </w:r>
    </w:p>
    <w:p>
      <w:pPr>
        <w:numPr>
          <w:ilvl w:val="0"/>
          <w:numId w:val="1014"/>
        </w:numPr>
        <w:pStyle w:val="Compact"/>
      </w:pPr>
      <w:r>
        <w:t xml:space="preserve">Dissemination of new or improved teaching approaches, techniques and</w:t>
      </w:r>
      <w:r>
        <w:t xml:space="preserve"> </w:t>
      </w:r>
      <w:r>
        <w:t xml:space="preserve">strategies to colleagues at WPI and beyond;</w:t>
      </w:r>
    </w:p>
    <w:p>
      <w:pPr>
        <w:numPr>
          <w:ilvl w:val="0"/>
          <w:numId w:val="1014"/>
        </w:numPr>
        <w:pStyle w:val="Compact"/>
      </w:pPr>
      <w:r>
        <w:t xml:space="preserve">Adaptation of approaches, techniques, and strategies by other</w:t>
      </w:r>
      <w:r>
        <w:t xml:space="preserve"> </w:t>
      </w:r>
      <w:r>
        <w:t xml:space="preserve">faculty members, programs, and institutions;</w:t>
      </w:r>
    </w:p>
    <w:p>
      <w:pPr>
        <w:numPr>
          <w:ilvl w:val="0"/>
          <w:numId w:val="1014"/>
        </w:numPr>
        <w:pStyle w:val="Compact"/>
      </w:pPr>
      <w:r>
        <w:t xml:space="preserve">Feedback on teaching innovations from faculty peers.</w:t>
      </w:r>
      <w:r>
        <w:br/>
      </w:r>
    </w:p>
    <w:p>
      <w:pPr>
        <w:numPr>
          <w:ilvl w:val="0"/>
          <w:numId w:val="1014"/>
        </w:numPr>
        <w:pStyle w:val="Compact"/>
      </w:pPr>
      <w:r>
        <w:t xml:space="preserve">Feedback on scholarship from peers in the scholarly community and/or</w:t>
      </w:r>
      <w:r>
        <w:t xml:space="preserve"> </w:t>
      </w:r>
      <w:r>
        <w:t xml:space="preserve">beneficiaries of the scholarly work.</w:t>
      </w:r>
    </w:p>
    <w:p>
      <w:pPr>
        <w:numPr>
          <w:ilvl w:val="0"/>
          <w:numId w:val="1014"/>
        </w:numPr>
        <w:pStyle w:val="Compact"/>
      </w:pPr>
      <w:r>
        <w:t xml:space="preserve">Invited keynotes and other invitations to speak or share teaching</w:t>
      </w:r>
      <w:r>
        <w:t xml:space="preserve"> </w:t>
      </w:r>
      <w:r>
        <w:t xml:space="preserve">materials or scholarly work personally or in a public venue,</w:t>
      </w:r>
      <w:r>
        <w:t xml:space="preserve"> </w:t>
      </w:r>
      <w:r>
        <w:t xml:space="preserve">conference, or workshop;</w:t>
      </w:r>
    </w:p>
    <w:p>
      <w:pPr>
        <w:numPr>
          <w:ilvl w:val="0"/>
          <w:numId w:val="1014"/>
        </w:numPr>
        <w:pStyle w:val="Compact"/>
      </w:pPr>
      <w:r>
        <w:t xml:space="preserve">Relevant awards, honors, or positive media coverage.</w:t>
      </w:r>
    </w:p>
    <w:p>
      <w:pPr>
        <w:pStyle w:val="FirstParagraph"/>
      </w:pPr>
      <w:r>
        <w:rPr>
          <w:i/>
        </w:rPr>
        <w:t xml:space="preserve">For Documentation and Assessment of Service:</w:t>
      </w:r>
      <w:r>
        <w:t xml:space="preserve"> </w:t>
      </w:r>
      <w:r>
        <w:t xml:space="preserve">Commitment to service can be documented in many ways, including but</w:t>
      </w:r>
      <w:r>
        <w:t xml:space="preserve"> </w:t>
      </w:r>
      <w:r>
        <w:t xml:space="preserve">not limited to engagement in some of the following activities:</w:t>
      </w:r>
    </w:p>
    <w:p>
      <w:pPr>
        <w:numPr>
          <w:ilvl w:val="0"/>
          <w:numId w:val="1015"/>
        </w:numPr>
        <w:pStyle w:val="Compact"/>
      </w:pPr>
      <w:r>
        <w:t xml:space="preserve">Service to WPI (faculty governance and ad-hoc committees, assistance</w:t>
      </w:r>
      <w:r>
        <w:t xml:space="preserve"> </w:t>
      </w:r>
      <w:r>
        <w:t xml:space="preserve">to administrative offices);</w:t>
      </w:r>
    </w:p>
    <w:p>
      <w:pPr>
        <w:numPr>
          <w:ilvl w:val="0"/>
          <w:numId w:val="1015"/>
        </w:numPr>
        <w:pStyle w:val="Compact"/>
      </w:pPr>
      <w:r>
        <w:t xml:space="preserve">Service to the candidate's department (curriculum committees, MQP</w:t>
      </w:r>
      <w:r>
        <w:t xml:space="preserve"> </w:t>
      </w:r>
      <w:r>
        <w:t xml:space="preserve">area coordinators, faculty recruitment, seminar series participation</w:t>
      </w:r>
      <w:r>
        <w:t xml:space="preserve"> </w:t>
      </w:r>
      <w:r>
        <w:t xml:space="preserve">and coordination);</w:t>
      </w:r>
    </w:p>
    <w:p>
      <w:pPr>
        <w:numPr>
          <w:ilvl w:val="0"/>
          <w:numId w:val="1015"/>
        </w:numPr>
        <w:pStyle w:val="Compact"/>
      </w:pPr>
      <w:r>
        <w:t xml:space="preserve">Service to the local community (board and committee membership in</w:t>
      </w:r>
      <w:r>
        <w:t xml:space="preserve"> </w:t>
      </w:r>
      <w:r>
        <w:t xml:space="preserve">social service and cultural institutions, local government</w:t>
      </w:r>
      <w:r>
        <w:t xml:space="preserve"> </w:t>
      </w:r>
      <w:r>
        <w:t xml:space="preserve">participation);</w:t>
      </w:r>
    </w:p>
    <w:p>
      <w:pPr>
        <w:numPr>
          <w:ilvl w:val="0"/>
          <w:numId w:val="1015"/>
        </w:numPr>
        <w:pStyle w:val="Compact"/>
      </w:pPr>
      <w:r>
        <w:t xml:space="preserve">Service to the profession (participation in national and</w:t>
      </w:r>
      <w:r>
        <w:t xml:space="preserve"> </w:t>
      </w:r>
      <w:r>
        <w:t xml:space="preserve">international committees and panels, in local chapters of</w:t>
      </w:r>
      <w:r>
        <w:t xml:space="preserve"> </w:t>
      </w:r>
      <w:r>
        <w:t xml:space="preserve">professional societies, in conference organization).</w:t>
      </w:r>
    </w:p>
    <w:p>
      <w:pPr>
        <w:pStyle w:val="Heading2"/>
      </w:pPr>
      <w:bookmarkStart w:id="43" w:name="department-tenure-committees"/>
      <w:r>
        <w:t xml:space="preserve">4. Department Tenure Committees</w:t>
      </w:r>
      <w:bookmarkEnd w:id="43"/>
    </w:p>
    <w:p>
      <w:pPr>
        <w:pStyle w:val="FirstParagraph"/>
      </w:pPr>
      <w:r>
        <w:t xml:space="preserve">Each Department Tenure Committee (DTC) shall be composed of the</w:t>
      </w:r>
      <w:r>
        <w:t xml:space="preserve"> </w:t>
      </w:r>
      <w:r>
        <w:t xml:space="preserve">Department Head and two tenured faculty members of the department.</w:t>
      </w:r>
      <w:r>
        <w:t xml:space="preserve"> </w:t>
      </w:r>
      <w:r>
        <w:t xml:space="preserve">The elected DTC members will be nominated and elected by secret ballot</w:t>
      </w:r>
      <w:r>
        <w:t xml:space="preserve"> </w:t>
      </w:r>
      <w:r>
        <w:t xml:space="preserve">by the voting faculty members in the department for terms of two years</w:t>
      </w:r>
      <w:r>
        <w:t xml:space="preserve"> </w:t>
      </w:r>
      <w:r>
        <w:t xml:space="preserve">each with one DTC member being elected each year, after the first</w:t>
      </w:r>
      <w:r>
        <w:t xml:space="preserve"> </w:t>
      </w:r>
      <w:r>
        <w:t xml:space="preserve">year. The Chair of each Department Tenure Committee shall be the</w:t>
      </w:r>
      <w:r>
        <w:t xml:space="preserve"> </w:t>
      </w:r>
      <w:r>
        <w:t xml:space="preserve">elected member whose term of office expires in June of the current</w:t>
      </w:r>
      <w:r>
        <w:t xml:space="preserve"> </w:t>
      </w:r>
      <w:r>
        <w:t xml:space="preserve">academic year. No DTC member may serve two consecutive terms, unless</w:t>
      </w:r>
      <w:r>
        <w:t xml:space="preserve"> </w:t>
      </w:r>
      <w:r>
        <w:t xml:space="preserve">the limited number of department faculty members with tenure makes</w:t>
      </w:r>
      <w:r>
        <w:t xml:space="preserve"> </w:t>
      </w:r>
      <w:r>
        <w:t xml:space="preserve">this restriction impossible. No member of CTAF may serve on a</w:t>
      </w:r>
      <w:r>
        <w:t xml:space="preserve"> </w:t>
      </w:r>
      <w:r>
        <w:t xml:space="preserve">Department Tenure Committee.</w:t>
      </w:r>
    </w:p>
    <w:p>
      <w:pPr>
        <w:pStyle w:val="Heading2"/>
      </w:pPr>
      <w:bookmarkStart w:id="44" w:name="chapter-3-section-5"/>
      <w:r>
        <w:t xml:space="preserve">5. Joint Tenure Committees</w:t>
      </w:r>
      <w:bookmarkEnd w:id="44"/>
    </w:p>
    <w:p>
      <w:pPr>
        <w:pStyle w:val="FirstParagraph"/>
      </w:pPr>
      <w:r>
        <w:t xml:space="preserve">For the purpose of considering each tenure case, a Joint Tenure</w:t>
      </w:r>
      <w:r>
        <w:t xml:space="preserve"> </w:t>
      </w:r>
      <w:r>
        <w:t xml:space="preserve">Committee (JTC) is formed, consisting of five members from CTAF and</w:t>
      </w:r>
      <w:r>
        <w:t xml:space="preserve"> </w:t>
      </w:r>
      <w:r>
        <w:t xml:space="preserve">the three-member Department Tenure Committee. The Joint Tenure</w:t>
      </w:r>
      <w:r>
        <w:t xml:space="preserve"> </w:t>
      </w:r>
      <w:r>
        <w:t xml:space="preserve">Committee is chaired by the senior elected member of the five CTAF</w:t>
      </w:r>
      <w:r>
        <w:t xml:space="preserve"> </w:t>
      </w:r>
      <w:r>
        <w:t xml:space="preserve">participants.</w:t>
      </w:r>
    </w:p>
    <w:p>
      <w:pPr>
        <w:pStyle w:val="BodyText"/>
      </w:pPr>
      <w:r>
        <w:t xml:space="preserve">If the tenure candidate and one of the CTAF members are from the same</w:t>
      </w:r>
      <w:r>
        <w:t xml:space="preserve"> </w:t>
      </w:r>
      <w:r>
        <w:t xml:space="preserve">department, then that CTAF member is recused from the Joint Tenure</w:t>
      </w:r>
      <w:r>
        <w:t xml:space="preserve"> </w:t>
      </w:r>
      <w:r>
        <w:t xml:space="preserve">Committee automatically. The Joint Tenure Committee shall also</w:t>
      </w:r>
      <w:r>
        <w:t xml:space="preserve"> </w:t>
      </w:r>
      <w:r>
        <w:t xml:space="preserve">consider whether any of its members should be recused due to direct</w:t>
      </w:r>
      <w:r>
        <w:t xml:space="preserve"> </w:t>
      </w:r>
      <w:r>
        <w:t xml:space="preserve">conflict of interest. In the event that recusal of one of the</w:t>
      </w:r>
      <w:r>
        <w:t xml:space="preserve"> </w:t>
      </w:r>
      <w:r>
        <w:t xml:space="preserve">Department Tenure Committee members is necessary due to conflict of</w:t>
      </w:r>
      <w:r>
        <w:t xml:space="preserve"> </w:t>
      </w:r>
      <w:r>
        <w:t xml:space="preserve">interest, the most recent qualified past Department Tenure Committee</w:t>
      </w:r>
      <w:r>
        <w:t xml:space="preserve"> </w:t>
      </w:r>
      <w:r>
        <w:t xml:space="preserve">member will serve on the Joint Tenure Committee for that particular</w:t>
      </w:r>
      <w:r>
        <w:t xml:space="preserve"> </w:t>
      </w:r>
      <w:r>
        <w:t xml:space="preserve">case.</w:t>
      </w:r>
    </w:p>
    <w:p>
      <w:pPr>
        <w:pStyle w:val="BodyText"/>
      </w:pPr>
      <w:r>
        <w:t xml:space="preserve">In the event of no departmental overlap or conflict of interest, the</w:t>
      </w:r>
      <w:r>
        <w:t xml:space="preserve"> </w:t>
      </w:r>
      <w:r>
        <w:t xml:space="preserve">selection of the five CTAF members to sit on Joint Tenure Committees</w:t>
      </w:r>
      <w:r>
        <w:t xml:space="preserve"> </w:t>
      </w:r>
      <w:r>
        <w:t xml:space="preserve">will be governed by CTAF procedures developed to lead to an overall</w:t>
      </w:r>
      <w:r>
        <w:t xml:space="preserve"> </w:t>
      </w:r>
      <w:r>
        <w:t xml:space="preserve">pattern of recusals distributed over the CTAF membership so as to</w:t>
      </w:r>
      <w:r>
        <w:t xml:space="preserve"> </w:t>
      </w:r>
      <w:r>
        <w:t xml:space="preserve">ensure appropriate participation for each CTAF member.</w:t>
      </w:r>
    </w:p>
    <w:p>
      <w:pPr>
        <w:pStyle w:val="BodyText"/>
      </w:pPr>
      <w:r>
        <w:t xml:space="preserve">If a member of the Joint Tenure Committee must resign, a replacement</w:t>
      </w:r>
      <w:r>
        <w:t xml:space="preserve"> </w:t>
      </w:r>
      <w:r>
        <w:t xml:space="preserve">shall be selected to fill the unexpired term in the manner prescribed</w:t>
      </w:r>
      <w:r>
        <w:t xml:space="preserve"> </w:t>
      </w:r>
      <w:r>
        <w:t xml:space="preserve">above as though the member were recused.</w:t>
      </w:r>
    </w:p>
    <w:p>
      <w:pPr>
        <w:pStyle w:val="BodyText"/>
      </w:pPr>
      <w:r>
        <w:t xml:space="preserve">In the cases of tenure candidates who have, or have had,</w:t>
      </w:r>
      <w:r>
        <w:t xml:space="preserve"> </w:t>
      </w:r>
      <w:r>
        <w:t xml:space="preserve">interdepartmental affiliations to such an extent that CTAF determines</w:t>
      </w:r>
      <w:r>
        <w:t xml:space="preserve"> </w:t>
      </w:r>
      <w:r>
        <w:t xml:space="preserve">it appropriate to have special composition of the Joint Tenure</w:t>
      </w:r>
      <w:r>
        <w:t xml:space="preserve"> </w:t>
      </w:r>
      <w:r>
        <w:t xml:space="preserve">Committee, CTAF will name, after investigation of the circumstances,</w:t>
      </w:r>
      <w:r>
        <w:t xml:space="preserve"> </w:t>
      </w:r>
      <w:r>
        <w:t xml:space="preserve">an Interdepartmental Tenure Committee in place of the Department</w:t>
      </w:r>
      <w:r>
        <w:t xml:space="preserve"> </w:t>
      </w:r>
      <w:r>
        <w:t xml:space="preserve">Tenure Committee, and will specify the voting rules of this body (see</w:t>
      </w:r>
      <w:r>
        <w:t xml:space="preserve"> </w:t>
      </w:r>
      <w:hyperlink r:id="rId45">
        <w:r>
          <w:rPr>
            <w:rStyle w:val="Hyperlink"/>
          </w:rPr>
          <w:t xml:space="preserve">Section 6</w:t>
        </w:r>
      </w:hyperlink>
      <w:r>
        <w:t xml:space="preserve">).</w:t>
      </w:r>
    </w:p>
    <w:p>
      <w:pPr>
        <w:pStyle w:val="BodyText"/>
      </w:pPr>
      <w:r>
        <w:t xml:space="preserve">In the event that a Department has only one tenured faculty member and</w:t>
      </w:r>
      <w:r>
        <w:t xml:space="preserve"> </w:t>
      </w:r>
      <w:r>
        <w:t xml:space="preserve">a Department Head, to staff the Joint Tenure Committee, then CTAF will</w:t>
      </w:r>
      <w:r>
        <w:t xml:space="preserve"> </w:t>
      </w:r>
      <w:r>
        <w:t xml:space="preserve">appoint another WPI tenured faculty member to serve on the Joint</w:t>
      </w:r>
      <w:r>
        <w:t xml:space="preserve"> </w:t>
      </w:r>
      <w:r>
        <w:t xml:space="preserve">Tenure Committee, thereby bringing the membership of that Committee to</w:t>
      </w:r>
      <w:r>
        <w:t xml:space="preserve"> </w:t>
      </w:r>
      <w:r>
        <w:t xml:space="preserve">eight. In the event that a Department has no tenured faculty members,</w:t>
      </w:r>
      <w:r>
        <w:t xml:space="preserve"> </w:t>
      </w:r>
      <w:r>
        <w:t xml:space="preserve">in addition to the Department Head, to staff the Joint Tenure</w:t>
      </w:r>
      <w:r>
        <w:t xml:space="preserve"> </w:t>
      </w:r>
      <w:r>
        <w:t xml:space="preserve">Committee, then the Joint Tenure Committee shall have only six</w:t>
      </w:r>
      <w:r>
        <w:t xml:space="preserve"> </w:t>
      </w:r>
      <w:r>
        <w:t xml:space="preserve">members, the five members of CTAF and the Department Head. If tenure</w:t>
      </w:r>
      <w:r>
        <w:t xml:space="preserve"> </w:t>
      </w:r>
      <w:r>
        <w:t xml:space="preserve">for a Department Head is under consideration, the appropriate Dean</w:t>
      </w:r>
      <w:r>
        <w:t xml:space="preserve"> </w:t>
      </w:r>
      <w:r>
        <w:t xml:space="preserve">will sit in place of that Department Head.</w:t>
      </w:r>
    </w:p>
    <w:p>
      <w:pPr>
        <w:pStyle w:val="Heading2"/>
      </w:pPr>
      <w:bookmarkStart w:id="46" w:name="chapter-3-section-6"/>
      <w:r>
        <w:t xml:space="preserve">6. Joint Tenure Committees for Interdisciplinary Candidates</w:t>
      </w:r>
      <w:bookmarkEnd w:id="46"/>
    </w:p>
    <w:p>
      <w:pPr>
        <w:pStyle w:val="FirstParagraph"/>
      </w:pPr>
      <w:r>
        <w:t xml:space="preserve">Normally, each Department Tenure Committee consists of two elected</w:t>
      </w:r>
      <w:r>
        <w:t xml:space="preserve"> </w:t>
      </w:r>
      <w:r>
        <w:t xml:space="preserve">department members with tenure plus the Department Head; in the cases</w:t>
      </w:r>
      <w:r>
        <w:t xml:space="preserve"> </w:t>
      </w:r>
      <w:r>
        <w:t xml:space="preserve">of interdepartmental or interdisciplinary candidates the structure of</w:t>
      </w:r>
      <w:r>
        <w:t xml:space="preserve"> </w:t>
      </w:r>
      <w:r>
        <w:t xml:space="preserve">the Department Tenure Committee for the purpose of participating as</w:t>
      </w:r>
      <w:r>
        <w:t xml:space="preserve"> </w:t>
      </w:r>
      <w:r>
        <w:t xml:space="preserve">members of the Joint Tenure Committee shall be modified to an</w:t>
      </w:r>
      <w:r>
        <w:t xml:space="preserve"> </w:t>
      </w:r>
      <w:r>
        <w:t xml:space="preserve">Interdepartmental Tenure Committee as follows:</w:t>
      </w:r>
    </w:p>
    <w:p>
      <w:pPr>
        <w:pStyle w:val="BodyText"/>
      </w:pPr>
      <w:r>
        <w:t xml:space="preserve">In the cases of tenure candidates who have, or have had,</w:t>
      </w:r>
      <w:r>
        <w:t xml:space="preserve"> </w:t>
      </w:r>
      <w:r>
        <w:t xml:space="preserve">interdepartmental affiliations to such an extent that CTAF determines</w:t>
      </w:r>
      <w:r>
        <w:t xml:space="preserve"> </w:t>
      </w:r>
      <w:r>
        <w:t xml:space="preserve">it appropriate to have special composition of the Joint Tenure</w:t>
      </w:r>
      <w:r>
        <w:t xml:space="preserve"> </w:t>
      </w:r>
      <w:r>
        <w:t xml:space="preserve">Committee, CTAF will name, after investigation of the circumstances,</w:t>
      </w:r>
      <w:r>
        <w:t xml:space="preserve"> </w:t>
      </w:r>
      <w:r>
        <w:t xml:space="preserve">an Interdepartmental Tenure Committee in place of the Department</w:t>
      </w:r>
      <w:r>
        <w:t xml:space="preserve"> </w:t>
      </w:r>
      <w:r>
        <w:t xml:space="preserve">Tenure Committee on the Joint Tenure Committee. In the selection of</w:t>
      </w:r>
      <w:r>
        <w:t xml:space="preserve"> </w:t>
      </w:r>
      <w:r>
        <w:t xml:space="preserve">the Interdepartmental Tenure Committee membership, the candidate's own</w:t>
      </w:r>
      <w:r>
        <w:t xml:space="preserve"> </w:t>
      </w:r>
      <w:r>
        <w:t xml:space="preserve">preference will be solicited and considered, but determination of the</w:t>
      </w:r>
      <w:r>
        <w:t xml:space="preserve"> </w:t>
      </w:r>
      <w:r>
        <w:t xml:space="preserve">membership will be the responsibility of CTAF. Both the membership of</w:t>
      </w:r>
      <w:r>
        <w:t xml:space="preserve"> </w:t>
      </w:r>
      <w:r>
        <w:t xml:space="preserve">the Interdepartmental Tenure Committee and the voting rules for the</w:t>
      </w:r>
      <w:r>
        <w:t xml:space="preserve"> </w:t>
      </w:r>
      <w:r>
        <w:t xml:space="preserve">Interdepartmental Tenure Committee on the Joint Tenure Committee will</w:t>
      </w:r>
      <w:r>
        <w:t xml:space="preserve"> </w:t>
      </w:r>
      <w:r>
        <w:t xml:space="preserve">be determined by CTAF consistent with the guidelines provided below.</w:t>
      </w:r>
      <w:r>
        <w:t xml:space="preserve"> </w:t>
      </w:r>
      <w:r>
        <w:t xml:space="preserve">These decisions will be made by CTAF as early as practicable in the</w:t>
      </w:r>
      <w:r>
        <w:t xml:space="preserve"> </w:t>
      </w:r>
      <w:r>
        <w:t xml:space="preserve">academic year prior to the academic year of the Joint Tenure</w:t>
      </w:r>
      <w:r>
        <w:t xml:space="preserve"> </w:t>
      </w:r>
      <w:r>
        <w:t xml:space="preserve">Committee's tenure review of the case. The composition and roles in</w:t>
      </w:r>
      <w:r>
        <w:t xml:space="preserve"> </w:t>
      </w:r>
      <w:r>
        <w:t xml:space="preserve">each such case will be reported to the candidate and to the Faculties</w:t>
      </w:r>
      <w:r>
        <w:t xml:space="preserve"> </w:t>
      </w:r>
      <w:r>
        <w:t xml:space="preserve">of the candidate's departments.</w:t>
      </w:r>
    </w:p>
    <w:p>
      <w:pPr>
        <w:pStyle w:val="BodyText"/>
      </w:pPr>
      <w:r>
        <w:t xml:space="preserve">Guidelines for the membership and voting rules of the</w:t>
      </w:r>
      <w:r>
        <w:t xml:space="preserve"> </w:t>
      </w:r>
      <w:r>
        <w:t xml:space="preserve">Interdepartmental Tenure Committee on the Joint Tenure Committee are</w:t>
      </w:r>
      <w:r>
        <w:t xml:space="preserve"> </w:t>
      </w:r>
      <w:r>
        <w:t xml:space="preserve">as follows: Except in those circumstances that preclude it, the total</w:t>
      </w:r>
      <w:r>
        <w:t xml:space="preserve"> </w:t>
      </w:r>
      <w:r>
        <w:t xml:space="preserve">number of votes on the Joint Tenure Committee by the Interdepartmental</w:t>
      </w:r>
      <w:r>
        <w:t xml:space="preserve"> </w:t>
      </w:r>
      <w:r>
        <w:t xml:space="preserve">Tenure Committee will be three. Two of these will be cast by two</w:t>
      </w:r>
      <w:r>
        <w:t xml:space="preserve"> </w:t>
      </w:r>
      <w:r>
        <w:t xml:space="preserve">tenured faculty members who would normally be selected from each of</w:t>
      </w:r>
      <w:r>
        <w:t xml:space="preserve"> </w:t>
      </w:r>
      <w:r>
        <w:t xml:space="preserve">the two Department Tenure Committees. The Heads of both departments</w:t>
      </w:r>
      <w:r>
        <w:t xml:space="preserve"> </w:t>
      </w:r>
      <w:r>
        <w:t xml:space="preserve">will participate in the deliberations of the Joint Tenure Committee,</w:t>
      </w:r>
      <w:r>
        <w:t xml:space="preserve"> </w:t>
      </w:r>
      <w:r>
        <w:t xml:space="preserve">and will provide the third vote (such as by one or the other being</w:t>
      </w:r>
      <w:r>
        <w:t xml:space="preserve"> </w:t>
      </w:r>
      <w:r>
        <w:t xml:space="preserve">designated the voting member, or by the two department heads sharing</w:t>
      </w:r>
      <w:r>
        <w:t xml:space="preserve"> </w:t>
      </w:r>
      <w:r>
        <w:t xml:space="preserve">the vote.)</w:t>
      </w:r>
    </w:p>
    <w:p>
      <w:pPr>
        <w:pStyle w:val="Heading2"/>
      </w:pPr>
      <w:bookmarkStart w:id="47" w:name="chapter-3-section-7"/>
      <w:r>
        <w:t xml:space="preserve">7. Tenure Procedures</w:t>
      </w:r>
      <w:bookmarkEnd w:id="47"/>
    </w:p>
    <w:p>
      <w:pPr>
        <w:pStyle w:val="Heading3"/>
      </w:pPr>
      <w:bookmarkStart w:id="48" w:name="chapter-3-section-7a"/>
      <w:r>
        <w:t xml:space="preserve">a. General Overview</w:t>
      </w:r>
      <w:bookmarkEnd w:id="48"/>
    </w:p>
    <w:p>
      <w:pPr>
        <w:pStyle w:val="FirstParagraph"/>
      </w:pPr>
      <w:r>
        <w:t xml:space="preserve">The WPI Faculty, through its Bylaws, has given to the Committee on</w:t>
      </w:r>
      <w:r>
        <w:t xml:space="preserve"> </w:t>
      </w:r>
      <w:r>
        <w:t xml:space="preserve">Tenure and Academic Freedom the authority and responsibility to</w:t>
      </w:r>
      <w:r>
        <w:t xml:space="preserve"> </w:t>
      </w:r>
      <w:r>
        <w:t xml:space="preserve">oversee tenure recommendations to the Provost. Joint Tenure</w:t>
      </w:r>
      <w:r>
        <w:t xml:space="preserve"> </w:t>
      </w:r>
      <w:r>
        <w:t xml:space="preserve">Committees, comprised of CTAF members and Department Tenure Committees</w:t>
      </w:r>
      <w:r>
        <w:t xml:space="preserve"> </w:t>
      </w:r>
      <w:r>
        <w:t xml:space="preserve">as specified above (see</w:t>
      </w:r>
      <w:r>
        <w:t xml:space="preserve"> </w:t>
      </w:r>
      <w:hyperlink r:id="rId49">
        <w:r>
          <w:rPr>
            <w:rStyle w:val="Hyperlink"/>
          </w:rPr>
          <w:t xml:space="preserve">Section 5</w:t>
        </w:r>
      </w:hyperlink>
      <w:r>
        <w:t xml:space="preserve">),</w:t>
      </w:r>
      <w:r>
        <w:t xml:space="preserve"> </w:t>
      </w:r>
      <w:r>
        <w:t xml:space="preserve">shall recommend to the Provost which members of the Faculty should be</w:t>
      </w:r>
      <w:r>
        <w:t xml:space="preserve"> </w:t>
      </w:r>
      <w:r>
        <w:t xml:space="preserve">granted tenure or denied tenure, according to the policy and</w:t>
      </w:r>
      <w:r>
        <w:t xml:space="preserve"> </w:t>
      </w:r>
      <w:r>
        <w:t xml:space="preserve">procedures on conducting tenure reviews and the granting of tenure and</w:t>
      </w:r>
      <w:r>
        <w:t xml:space="preserve"> </w:t>
      </w:r>
      <w:r>
        <w:t xml:space="preserve">promotion.</w:t>
      </w:r>
    </w:p>
    <w:p>
      <w:pPr>
        <w:pStyle w:val="BodyText"/>
      </w:pPr>
      <w:r>
        <w:t xml:space="preserve">The recommendation for or against tenure is a major decision point in</w:t>
      </w:r>
      <w:r>
        <w:t xml:space="preserve"> </w:t>
      </w:r>
      <w:r>
        <w:t xml:space="preserve">an individual's life. Recognizing this, the Joint Tenure Committee</w:t>
      </w:r>
      <w:r>
        <w:t xml:space="preserve"> </w:t>
      </w:r>
      <w:r>
        <w:t xml:space="preserve">utilizes operating procedures that protect the welfare of the</w:t>
      </w:r>
      <w:r>
        <w:t xml:space="preserve"> </w:t>
      </w:r>
      <w:r>
        <w:t xml:space="preserve">individual under consideration. To that end the operating procedures</w:t>
      </w:r>
      <w:r>
        <w:t xml:space="preserve"> </w:t>
      </w:r>
      <w:r>
        <w:t xml:space="preserve">are based on these criteria:</w:t>
      </w:r>
    </w:p>
    <w:p>
      <w:pPr>
        <w:numPr>
          <w:ilvl w:val="0"/>
          <w:numId w:val="1016"/>
        </w:numPr>
      </w:pPr>
      <w:r>
        <w:rPr>
          <w:i/>
        </w:rPr>
        <w:t xml:space="preserve">A Complete Background Study:</w:t>
      </w:r>
      <w:r>
        <w:t xml:space="preserve"> </w:t>
      </w:r>
      <w:r>
        <w:t xml:space="preserve">The Joint Tenure Committee collects</w:t>
      </w:r>
      <w:r>
        <w:t xml:space="preserve"> </w:t>
      </w:r>
      <w:r>
        <w:t xml:space="preserve">as much information as possible relative to the candidate's nomination</w:t>
      </w:r>
      <w:r>
        <w:t xml:space="preserve"> </w:t>
      </w:r>
      <w:r>
        <w:t xml:space="preserve">from colleagues, students, alumni, and professional peers.</w:t>
      </w:r>
    </w:p>
    <w:p>
      <w:pPr>
        <w:numPr>
          <w:ilvl w:val="0"/>
          <w:numId w:val="1016"/>
        </w:numPr>
      </w:pPr>
      <w:r>
        <w:rPr>
          <w:i/>
        </w:rPr>
        <w:t xml:space="preserve">Confidentiality:</w:t>
      </w:r>
      <w:r>
        <w:t xml:space="preserve"> </w:t>
      </w:r>
      <w:r>
        <w:t xml:space="preserve">The welfare of the candidate must be protected</w:t>
      </w:r>
      <w:r>
        <w:t xml:space="preserve"> </w:t>
      </w:r>
      <w:r>
        <w:t xml:space="preserve">by all parties by observing strict rules of confidentiality concerning</w:t>
      </w:r>
      <w:r>
        <w:t xml:space="preserve"> </w:t>
      </w:r>
      <w:r>
        <w:t xml:space="preserve">all phases of the tenure deliberation process.</w:t>
      </w:r>
    </w:p>
    <w:p>
      <w:pPr>
        <w:numPr>
          <w:ilvl w:val="0"/>
          <w:numId w:val="1016"/>
        </w:numPr>
      </w:pPr>
      <w:r>
        <w:rPr>
          <w:i/>
        </w:rPr>
        <w:t xml:space="preserve">Unitary Recommendation:</w:t>
      </w:r>
      <w:r>
        <w:t xml:space="preserve"> </w:t>
      </w:r>
      <w:r>
        <w:t xml:space="preserve">The Joint Tenure Committee forwards to</w:t>
      </w:r>
      <w:r>
        <w:t xml:space="preserve"> </w:t>
      </w:r>
      <w:r>
        <w:t xml:space="preserve">the Provost a unitary recommendation for or against tenure (and, in</w:t>
      </w:r>
      <w:r>
        <w:t xml:space="preserve"> </w:t>
      </w:r>
      <w:r>
        <w:t xml:space="preserve">the cases of Assistant Professors and Assistant Professors of</w:t>
      </w:r>
      <w:r>
        <w:t xml:space="preserve"> </w:t>
      </w:r>
      <w:r>
        <w:t xml:space="preserve">Teaching, for and against promotion to the corresponding associate</w:t>
      </w:r>
      <w:r>
        <w:t xml:space="preserve"> </w:t>
      </w:r>
      <w:r>
        <w:t xml:space="preserve">rank); the recommendation contains no minority opinion, and does not</w:t>
      </w:r>
      <w:r>
        <w:t xml:space="preserve"> </w:t>
      </w:r>
      <w:r>
        <w:t xml:space="preserve">attempt to weigh all the factors that were considered during the</w:t>
      </w:r>
      <w:r>
        <w:t xml:space="preserve"> </w:t>
      </w:r>
      <w:r>
        <w:t xml:space="preserve">deliberations. The purpose of this policy is to prevent the</w:t>
      </w:r>
      <w:r>
        <w:t xml:space="preserve"> </w:t>
      </w:r>
      <w:r>
        <w:t xml:space="preserve">development of a class system of tenure.</w:t>
      </w:r>
    </w:p>
    <w:p>
      <w:pPr>
        <w:numPr>
          <w:ilvl w:val="0"/>
          <w:numId w:val="1016"/>
        </w:numPr>
      </w:pPr>
      <w:r>
        <w:rPr>
          <w:i/>
        </w:rPr>
        <w:t xml:space="preserve">Shared Authority:</w:t>
      </w:r>
      <w:r>
        <w:t xml:space="preserve"> </w:t>
      </w:r>
      <w:r>
        <w:t xml:space="preserve">The WPI Faculty Constitution is based on a</w:t>
      </w:r>
      <w:r>
        <w:t xml:space="preserve"> </w:t>
      </w:r>
      <w:r>
        <w:t xml:space="preserve">condition of shared authority among the Faculty, Administrative</w:t>
      </w:r>
      <w:r>
        <w:t xml:space="preserve"> </w:t>
      </w:r>
      <w:r>
        <w:t xml:space="preserve">Officers, and the Board of Trustees.</w:t>
      </w:r>
    </w:p>
    <w:p>
      <w:pPr>
        <w:pStyle w:val="FirstParagraph"/>
      </w:pPr>
      <w:r>
        <w:t xml:space="preserve">For candidates who are Assistant Professors, each recommendation is</w:t>
      </w:r>
      <w:r>
        <w:t xml:space="preserve"> </w:t>
      </w:r>
      <w:r>
        <w:t xml:space="preserve">either for tenure with promotion to Associate Professor or against</w:t>
      </w:r>
      <w:r>
        <w:t xml:space="preserve"> </w:t>
      </w:r>
      <w:r>
        <w:t xml:space="preserve">tenure and against promotion. For candidates who are Assistant</w:t>
      </w:r>
      <w:r>
        <w:t xml:space="preserve"> </w:t>
      </w:r>
      <w:r>
        <w:t xml:space="preserve">Professors of Teaching, each recommendation is either for tenure with</w:t>
      </w:r>
      <w:r>
        <w:t xml:space="preserve"> </w:t>
      </w:r>
      <w:r>
        <w:t xml:space="preserve">promotion to Associate Professor of Teaching or against tenure and</w:t>
      </w:r>
      <w:r>
        <w:t xml:space="preserve"> </w:t>
      </w:r>
      <w:r>
        <w:t xml:space="preserve">against promotion. For candidates who are either Associate</w:t>
      </w:r>
      <w:r>
        <w:t xml:space="preserve"> </w:t>
      </w:r>
      <w:r>
        <w:t xml:space="preserve">Professors, Associate Professors of Teaching, Professors, or</w:t>
      </w:r>
      <w:r>
        <w:t xml:space="preserve"> </w:t>
      </w:r>
      <w:r>
        <w:t xml:space="preserve">Professors of Teaching, each recommendation is for or against tenure</w:t>
      </w:r>
      <w:r>
        <w:t xml:space="preserve"> </w:t>
      </w:r>
      <w:r>
        <w:t xml:space="preserve">with no consideration given to promotion.</w:t>
      </w:r>
    </w:p>
    <w:p>
      <w:pPr>
        <w:pStyle w:val="BodyText"/>
      </w:pPr>
      <w:r>
        <w:t xml:space="preserve">If tenure is denied, then a terminal appointment will be offered for</w:t>
      </w:r>
      <w:r>
        <w:t xml:space="preserve"> </w:t>
      </w:r>
      <w:r>
        <w:t xml:space="preserve">only one additional academic year beyond the academic year of the</w:t>
      </w:r>
      <w:r>
        <w:t xml:space="preserve"> </w:t>
      </w:r>
      <w:r>
        <w:t xml:space="preserve">tenure review (see</w:t>
      </w:r>
      <w:r>
        <w:t xml:space="preserve"> </w:t>
      </w:r>
      <w:hyperlink r:id="rId50">
        <w:r>
          <w:rPr>
            <w:rStyle w:val="Hyperlink"/>
          </w:rPr>
          <w:t xml:space="preserve">Chapter Three: Academic Appointments,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3.a.iii</w:t>
        </w:r>
      </w:hyperlink>
      <w:r>
        <w:t xml:space="preserve">). In rare instances,</w:t>
      </w:r>
      <w:r>
        <w:t xml:space="preserve"> </w:t>
      </w:r>
      <w:r>
        <w:t xml:space="preserve">Joint Tenure Committees may also review tenure-track faculty members</w:t>
      </w:r>
      <w:r>
        <w:t xml:space="preserve"> </w:t>
      </w:r>
      <w:r>
        <w:t xml:space="preserve">for early tenure for reasons described in</w:t>
      </w:r>
      <w:r>
        <w:t xml:space="preserve"> </w:t>
      </w:r>
      <w:hyperlink r:id="rId24">
        <w:r>
          <w:rPr>
            <w:rStyle w:val="Hyperlink"/>
          </w:rPr>
          <w:t xml:space="preserve">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2.c</w:t>
        </w:r>
      </w:hyperlink>
      <w:r>
        <w:t xml:space="preserve">.</w:t>
      </w:r>
    </w:p>
    <w:p>
      <w:pPr>
        <w:pStyle w:val="Heading3"/>
      </w:pPr>
      <w:bookmarkStart w:id="51" w:name="X0a334ce6feafa35bd645d85bc21e9c3bac37e56"/>
      <w:r>
        <w:t xml:space="preserve">b. Procedures for Tenure Reviews, Recommendations, Final Decisions, and Appeals</w:t>
      </w:r>
      <w:bookmarkEnd w:id="51"/>
    </w:p>
    <w:p>
      <w:pPr>
        <w:pStyle w:val="FirstParagraph"/>
      </w:pPr>
      <w:r>
        <w:t xml:space="preserve">By April 15th each year, the Provost shall provide to the Committee on</w:t>
      </w:r>
      <w:r>
        <w:t xml:space="preserve"> </w:t>
      </w:r>
      <w:r>
        <w:t xml:space="preserve">Tenure and Academic Freedom a list of tenure-track faculty members</w:t>
      </w:r>
      <w:r>
        <w:t xml:space="preserve"> </w:t>
      </w:r>
      <w:r>
        <w:t xml:space="preserve">with their exact titles, department and/or program affiliations, and</w:t>
      </w:r>
      <w:r>
        <w:t xml:space="preserve"> </w:t>
      </w:r>
      <w:r>
        <w:t xml:space="preserve">the academic year of their mandatory tenure reviews. This list shall</w:t>
      </w:r>
      <w:r>
        <w:t xml:space="preserve"> </w:t>
      </w:r>
      <w:r>
        <w:t xml:space="preserve">be updated annually to reflect all changes due to tenure clock</w:t>
      </w:r>
      <w:r>
        <w:t xml:space="preserve"> </w:t>
      </w:r>
      <w:r>
        <w:t xml:space="preserve">stoppages within the previous year and circulated to the Faculty.</w:t>
      </w:r>
    </w:p>
    <w:p>
      <w:pPr>
        <w:pStyle w:val="BodyText"/>
      </w:pPr>
      <w:r>
        <w:t xml:space="preserve">The Committee shall then write to those candidates scheduled for</w:t>
      </w:r>
      <w:r>
        <w:t xml:space="preserve"> </w:t>
      </w:r>
      <w:r>
        <w:t xml:space="preserve">mandatory tenure review or nominated for early tenure review in the</w:t>
      </w:r>
      <w:r>
        <w:t xml:space="preserve"> </w:t>
      </w:r>
      <w:r>
        <w:t xml:space="preserve">ensuing year asking for information on which to base its review of the</w:t>
      </w:r>
      <w:r>
        <w:t xml:space="preserve"> </w:t>
      </w:r>
      <w:r>
        <w:t xml:space="preserve">candidate's credentials. Among the items asked for are 1) a list of</w:t>
      </w:r>
      <w:r>
        <w:t xml:space="preserve"> </w:t>
      </w:r>
      <w:r>
        <w:t xml:space="preserve">professional references, 2) a current curriculum vitae, and 3) copies</w:t>
      </w:r>
      <w:r>
        <w:t xml:space="preserve"> </w:t>
      </w:r>
      <w:r>
        <w:t xml:space="preserve">of professional work. This information is due in June at a date set</w:t>
      </w:r>
      <w:r>
        <w:t xml:space="preserve"> </w:t>
      </w:r>
      <w:r>
        <w:t xml:space="preserve">by CTAF, prior to the academic year of the tenure review.</w:t>
      </w:r>
    </w:p>
    <w:p>
      <w:pPr>
        <w:pStyle w:val="BodyText"/>
      </w:pPr>
      <w:r>
        <w:t xml:space="preserve">The Joint Tenure Committee develops a list of external references to</w:t>
      </w:r>
      <w:r>
        <w:t xml:space="preserve"> </w:t>
      </w:r>
      <w:r>
        <w:t xml:space="preserve">evaluate the candidate, solicits alumni and student evaluations, and</w:t>
      </w:r>
      <w:r>
        <w:t xml:space="preserve"> </w:t>
      </w:r>
      <w:r>
        <w:t xml:space="preserve">other such evaluations as it deems appropriate to arrive at a fair and</w:t>
      </w:r>
      <w:r>
        <w:t xml:space="preserve"> </w:t>
      </w:r>
      <w:r>
        <w:t xml:space="preserve">equitable evaluation of the candidate.</w:t>
      </w:r>
    </w:p>
    <w:p>
      <w:pPr>
        <w:pStyle w:val="BodyText"/>
      </w:pPr>
      <w:r>
        <w:t xml:space="preserve">In A-term and B-term of the tenure review year, the Joint Tenure</w:t>
      </w:r>
      <w:r>
        <w:t xml:space="preserve"> </w:t>
      </w:r>
      <w:r>
        <w:t xml:space="preserve">Committee meets to consider the candidate. All eight members of the</w:t>
      </w:r>
      <w:r>
        <w:t xml:space="preserve"> </w:t>
      </w:r>
      <w:r>
        <w:t xml:space="preserve">Joint Tenure Committee must be present to conduct tenure</w:t>
      </w:r>
      <w:r>
        <w:t xml:space="preserve"> </w:t>
      </w:r>
      <w:r>
        <w:t xml:space="preserve">deliberations.</w:t>
      </w:r>
    </w:p>
    <w:p>
      <w:pPr>
        <w:pStyle w:val="BodyText"/>
      </w:pPr>
      <w:r>
        <w:t xml:space="preserve">When all the members of the Joint Tenure Committee agree that there</w:t>
      </w:r>
      <w:r>
        <w:t xml:space="preserve"> </w:t>
      </w:r>
      <w:r>
        <w:t xml:space="preserve">has been sufficient discussion, a vote is taken by the committee to</w:t>
      </w:r>
      <w:r>
        <w:t xml:space="preserve"> </w:t>
      </w:r>
      <w:r>
        <w:t xml:space="preserve">recommend for or against tenure by means of a secret ballot (with no</w:t>
      </w:r>
      <w:r>
        <w:t xml:space="preserve"> </w:t>
      </w:r>
      <w:r>
        <w:t xml:space="preserve">abstentions). A majority in favor of tenure is required for the Joint</w:t>
      </w:r>
      <w:r>
        <w:t xml:space="preserve"> </w:t>
      </w:r>
      <w:r>
        <w:t xml:space="preserve">Tenure Committee to recommend the candidate for tenure.</w:t>
      </w:r>
    </w:p>
    <w:p>
      <w:pPr>
        <w:pStyle w:val="BodyText"/>
      </w:pPr>
      <w:r>
        <w:t xml:space="preserve">For candidates who are Assistant Professors, each recommendation is</w:t>
      </w:r>
      <w:r>
        <w:t xml:space="preserve"> </w:t>
      </w:r>
      <w:r>
        <w:t xml:space="preserve">either for tenure with promotion to Associate Professor or against</w:t>
      </w:r>
      <w:r>
        <w:t xml:space="preserve"> </w:t>
      </w:r>
      <w:r>
        <w:t xml:space="preserve">tenure and against promotion. For candidates who are Assistant</w:t>
      </w:r>
      <w:r>
        <w:t xml:space="preserve"> </w:t>
      </w:r>
      <w:r>
        <w:t xml:space="preserve">Professors of Teaching, each recommendation is either for tenure with</w:t>
      </w:r>
      <w:r>
        <w:t xml:space="preserve"> </w:t>
      </w:r>
      <w:r>
        <w:t xml:space="preserve">promotion to Associate Professor of Teaching or against tenure and</w:t>
      </w:r>
      <w:r>
        <w:t xml:space="preserve"> </w:t>
      </w:r>
      <w:r>
        <w:t xml:space="preserve">against promotion. For candidates who are either Associate</w:t>
      </w:r>
      <w:r>
        <w:t xml:space="preserve"> </w:t>
      </w:r>
      <w:r>
        <w:t xml:space="preserve">Professors, Associate Professors of Teaching, Professors, or</w:t>
      </w:r>
      <w:r>
        <w:t xml:space="preserve"> </w:t>
      </w:r>
      <w:r>
        <w:t xml:space="preserve">Professors of Teaching, each recommendation is for or against tenure</w:t>
      </w:r>
      <w:r>
        <w:t xml:space="preserve"> </w:t>
      </w:r>
      <w:r>
        <w:t xml:space="preserve">with no consideration given to promotion.</w:t>
      </w:r>
    </w:p>
    <w:p>
      <w:pPr>
        <w:pStyle w:val="BodyText"/>
      </w:pPr>
      <w:r>
        <w:t xml:space="preserve">If the vote is favorable, a unitary statement about some of the</w:t>
      </w:r>
      <w:r>
        <w:t xml:space="preserve"> </w:t>
      </w:r>
      <w:r>
        <w:t xml:space="preserve">salient reasons for recommending tenure (and, in the cases of</w:t>
      </w:r>
      <w:r>
        <w:t xml:space="preserve"> </w:t>
      </w:r>
      <w:r>
        <w:t xml:space="preserve">Assistant Professors and Assistant Professors of Teaching,</w:t>
      </w:r>
      <w:r>
        <w:t xml:space="preserve"> </w:t>
      </w:r>
      <w:r>
        <w:t xml:space="preserve">recommending promotion to the corresponding associate rank) is</w:t>
      </w:r>
      <w:r>
        <w:t xml:space="preserve"> </w:t>
      </w:r>
      <w:r>
        <w:t xml:space="preserve">prepared by the Department Head, signed by all members of the Joint</w:t>
      </w:r>
      <w:r>
        <w:t xml:space="preserve"> </w:t>
      </w:r>
      <w:r>
        <w:t xml:space="preserve">Tenure Committee, and sent to the Provost. If it is voted to</w:t>
      </w:r>
      <w:r>
        <w:t xml:space="preserve"> </w:t>
      </w:r>
      <w:r>
        <w:t xml:space="preserve">recommend against tenure for the candidate, then a unitary statement</w:t>
      </w:r>
      <w:r>
        <w:t xml:space="preserve"> </w:t>
      </w:r>
      <w:r>
        <w:t xml:space="preserve">of the reasons for the denial is prepared by the Department Head,</w:t>
      </w:r>
      <w:r>
        <w:t xml:space="preserve"> </w:t>
      </w:r>
      <w:r>
        <w:t xml:space="preserve">signed by all members of the Joint Tenure Committee, and sent to the</w:t>
      </w:r>
      <w:r>
        <w:t xml:space="preserve"> </w:t>
      </w:r>
      <w:r>
        <w:t xml:space="preserve">Provost. The Joint Tenure Committee forwards its written</w:t>
      </w:r>
      <w:r>
        <w:t xml:space="preserve"> </w:t>
      </w:r>
      <w:r>
        <w:t xml:space="preserve">recommendations to the Provost by the end of B-term.</w:t>
      </w:r>
    </w:p>
    <w:p>
      <w:pPr>
        <w:pStyle w:val="BodyText"/>
      </w:pPr>
      <w:r>
        <w:t xml:space="preserve">The Provost reviews each case and consults with the appropriate Dean</w:t>
      </w:r>
      <w:r>
        <w:t xml:space="preserve"> </w:t>
      </w:r>
      <w:r>
        <w:t xml:space="preserve">and the President. Department Heads and any Deans who might act as a</w:t>
      </w:r>
      <w:r>
        <w:t xml:space="preserve"> </w:t>
      </w:r>
      <w:r>
        <w:t xml:space="preserve">Department Head in a particular case are restricted to their</w:t>
      </w:r>
      <w:r>
        <w:t xml:space="preserve"> </w:t>
      </w:r>
      <w:r>
        <w:t xml:space="preserve">participation on the Joint Tenure Committee only.</w:t>
      </w:r>
    </w:p>
    <w:p>
      <w:pPr>
        <w:pStyle w:val="BodyText"/>
      </w:pPr>
      <w:r>
        <w:t xml:space="preserve">Subsequently, the Provost may ask to meet with the Joint Tenure</w:t>
      </w:r>
      <w:r>
        <w:t xml:space="preserve"> </w:t>
      </w:r>
      <w:r>
        <w:t xml:space="preserve">Committee to discuss its recommendation, and the Provost must meet</w:t>
      </w:r>
      <w:r>
        <w:t xml:space="preserve"> </w:t>
      </w:r>
      <w:r>
        <w:t xml:space="preserve">with the Joint Tenure Committee in the case of a disagreement between</w:t>
      </w:r>
      <w:r>
        <w:t xml:space="preserve"> </w:t>
      </w:r>
      <w:r>
        <w:t xml:space="preserve">the Joint Tenure Committee and the Provost. While it is the</w:t>
      </w:r>
      <w:r>
        <w:t xml:space="preserve"> </w:t>
      </w:r>
      <w:r>
        <w:t xml:space="preserve">responsibility of the Provost to make recommendations for tenure to</w:t>
      </w:r>
      <w:r>
        <w:t xml:space="preserve"> </w:t>
      </w:r>
      <w:r>
        <w:t xml:space="preserve">the Board of Trustees, as a consequence of the criterion of Shared</w:t>
      </w:r>
      <w:r>
        <w:t xml:space="preserve"> </w:t>
      </w:r>
      <w:r>
        <w:t xml:space="preserve">Authority (described in</w:t>
      </w:r>
      <w:r>
        <w:t xml:space="preserve"> </w:t>
      </w:r>
      <w:hyperlink r:id="rId52">
        <w:r>
          <w:rPr>
            <w:rStyle w:val="Hyperlink"/>
          </w:rPr>
          <w:t xml:space="preserve">Section 7.a</w:t>
        </w:r>
      </w:hyperlink>
      <w:r>
        <w:t xml:space="preserve"> </w:t>
      </w:r>
      <w:r>
        <w:t xml:space="preserve">above), final disagreements between the Joint Tenure Committees and</w:t>
      </w:r>
      <w:r>
        <w:t xml:space="preserve"> </w:t>
      </w:r>
      <w:r>
        <w:t xml:space="preserve">the Provost are expected to be rare.</w:t>
      </w:r>
    </w:p>
    <w:p>
      <w:pPr>
        <w:pStyle w:val="BodyText"/>
      </w:pPr>
      <w:r>
        <w:t xml:space="preserve">Lastly, the Provost sends to the Board of Trustees only the names of</w:t>
      </w:r>
      <w:r>
        <w:t xml:space="preserve"> </w:t>
      </w:r>
      <w:r>
        <w:t xml:space="preserve">those candidates for whom the Provost recommends that tenure (and</w:t>
      </w:r>
      <w:r>
        <w:t xml:space="preserve"> </w:t>
      </w:r>
      <w:r>
        <w:t xml:space="preserve">corresponding promotion to associate rank for candidates at the</w:t>
      </w:r>
      <w:r>
        <w:t xml:space="preserve"> </w:t>
      </w:r>
      <w:r>
        <w:t xml:space="preserve">assistant rank) be granted. The Board votes on the Provost's positive</w:t>
      </w:r>
      <w:r>
        <w:t xml:space="preserve"> </w:t>
      </w:r>
      <w:r>
        <w:t xml:space="preserve">tenure recommendations.</w:t>
      </w:r>
    </w:p>
    <w:p>
      <w:pPr>
        <w:pStyle w:val="BodyText"/>
      </w:pPr>
      <w:r>
        <w:t xml:space="preserve">Regardless of the outcome of this process, the candidate is notified</w:t>
      </w:r>
      <w:r>
        <w:t xml:space="preserve"> </w:t>
      </w:r>
      <w:r>
        <w:t xml:space="preserve">by the Provost of the final tenure decision at a time deemed suitable</w:t>
      </w:r>
      <w:r>
        <w:t xml:space="preserve"> </w:t>
      </w:r>
      <w:r>
        <w:t xml:space="preserve">by the Provost.</w:t>
      </w:r>
    </w:p>
    <w:p>
      <w:pPr>
        <w:pStyle w:val="BodyText"/>
      </w:pPr>
      <w:r>
        <w:t xml:space="preserve">If a candidate for tenure wishes to appeal a negative decision,</w:t>
      </w:r>
      <w:r>
        <w:t xml:space="preserve"> </w:t>
      </w:r>
      <w:r>
        <w:t xml:space="preserve">faculty grievance procedures are available to the extent provided by</w:t>
      </w:r>
      <w:r>
        <w:t xml:space="preserve"> </w:t>
      </w:r>
      <w:r>
        <w:t xml:space="preserve">the Procedure for Complaints of Academic Freedom Violations (see</w:t>
      </w:r>
      <w:r>
        <w:t xml:space="preserve"> </w:t>
      </w:r>
      <w:hyperlink r:id="rId36">
        <w:r>
          <w:rPr>
            <w:rStyle w:val="Hyperlink"/>
          </w:rPr>
          <w:t xml:space="preserve">Chapter Five: Faculty Grievance Procedures, Section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1</w:t>
        </w:r>
      </w:hyperlink>
      <w:r>
        <w:t xml:space="preserve">; and</w:t>
      </w:r>
      <w:r>
        <w:t xml:space="preserve"> </w:t>
      </w:r>
      <w:hyperlink r:id="rId53">
        <w:r>
          <w:rPr>
            <w:rStyle w:val="Hyperlink"/>
          </w:rPr>
          <w:t xml:space="preserve">Chapter One: Governance,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Bylaw Three, Section II</w:t>
        </w:r>
      </w:hyperlink>
      <w:r>
        <w:t xml:space="preserve">) and by the Faculty</w:t>
      </w:r>
      <w:r>
        <w:t xml:space="preserve"> </w:t>
      </w:r>
      <w:r>
        <w:t xml:space="preserve">Grievance Procedure (see</w:t>
      </w:r>
      <w:r>
        <w:t xml:space="preserve"> </w:t>
      </w:r>
      <w:hyperlink r:id="rId54">
        <w:r>
          <w:rPr>
            <w:rStyle w:val="Hyperlink"/>
          </w:rPr>
          <w:t xml:space="preserve">Chapter Five: Faculty Grievance Procedures,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Section 2</w:t>
        </w:r>
      </w:hyperlink>
      <w:r>
        <w:t xml:space="preserve">; and</w:t>
      </w:r>
      <w:r>
        <w:t xml:space="preserve"> </w:t>
      </w:r>
      <w:hyperlink r:id="rId55">
        <w:r>
          <w:rPr>
            <w:rStyle w:val="Hyperlink"/>
          </w:rPr>
          <w:t xml:space="preserve">Chapter One: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Governance, Bylaw Three, Section IX</w:t>
        </w:r>
      </w:hyperlink>
      <w:r>
        <w:t xml:space="preserve">).</w:t>
      </w:r>
    </w:p>
    <w:sectPr w:rsidR="0029254A">
      <w:headerReference w:type="even" r:id="rId11"/>
      <w:headerReference w:type="default" r:id="rId10"/>
      <w:footerReference w:type="even" r:id="rId13"/>
      <w:footerReference w:type="default" r:id="rId12"/>
      <w:headerReference w:type="first" r:id="rId9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1044" w14:textId="77777777" w:rsidR="00140699" w:rsidRDefault="00140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E7A49" w14:textId="77777777" w:rsidR="00140699" w:rsidRPr="00140699" w:rsidRDefault="00140699">
    <w:pPr>
      <w:pStyle w:val="Footer"/>
      <w:tabs>
        <w:tab w:val="clear" w:pos="4680"/>
        <w:tab w:val="clear" w:pos="9360"/>
      </w:tabs>
      <w:jc w:val="center"/>
      <w:rPr>
        <w:caps/>
        <w:noProof/>
        <w:color w:val="C00000"/>
      </w:rPr>
    </w:pPr>
    <w:r w:rsidRPr="00140699">
      <w:rPr>
        <w:caps/>
        <w:color w:val="C00000"/>
      </w:rPr>
      <w:fldChar w:fldCharType="begin"/>
    </w:r>
    <w:r w:rsidRPr="00140699">
      <w:rPr>
        <w:caps/>
        <w:color w:val="C00000"/>
      </w:rPr>
      <w:instrText xml:space="preserve"> PAGE   \* MERGEFORMAT </w:instrText>
    </w:r>
    <w:r w:rsidRPr="00140699">
      <w:rPr>
        <w:caps/>
        <w:color w:val="C00000"/>
      </w:rPr>
      <w:fldChar w:fldCharType="separate"/>
    </w:r>
    <w:r w:rsidRPr="00140699">
      <w:rPr>
        <w:caps/>
        <w:noProof/>
        <w:color w:val="C00000"/>
      </w:rPr>
      <w:t>2</w:t>
    </w:r>
    <w:r w:rsidRPr="00140699">
      <w:rPr>
        <w:caps/>
        <w:noProof/>
        <w:color w:val="C00000"/>
      </w:rPr>
      <w:fldChar w:fldCharType="end"/>
    </w:r>
  </w:p>
  <w:p w14:paraId="06718001" w14:textId="77777777" w:rsidR="00140699" w:rsidRDefault="001406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FDC80" w14:textId="77777777" w:rsidR="00140699" w:rsidRDefault="00140699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4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The WPI teaching mission is distinguished by inquiry-based</w:t>
      </w:r>
      <w:r>
        <w:t xml:space="preserve"> </w:t>
      </w:r>
      <w:r>
        <w:t xml:space="preserve">learning, open-ended problem solving, and integrative and</w:t>
      </w:r>
      <w:r>
        <w:t xml:space="preserve"> </w:t>
      </w:r>
      <w:r>
        <w:t xml:space="preserve">interdisciplinary thinking. A WPI education balances personal</w:t>
      </w:r>
      <w:r>
        <w:t xml:space="preserve"> </w:t>
      </w:r>
      <w:r>
        <w:t xml:space="preserve">responsibility with cooperation, collaboration, and mutual respect,</w:t>
      </w:r>
      <w:r>
        <w:t xml:space="preserve"> </w:t>
      </w:r>
      <w:r>
        <w:t xml:space="preserve">and encourages critical reflection, sound decision making, and</w:t>
      </w:r>
      <w:r>
        <w:t xml:space="preserve"> </w:t>
      </w:r>
      <w:r>
        <w:t xml:space="preserve">personal growth. WPI prepares its graduates broadly to lead fulfilling</w:t>
      </w:r>
      <w:r>
        <w:t xml:space="preserve"> </w:t>
      </w:r>
      <w:r>
        <w:t xml:space="preserve">lives as responsible professionals, informed community members, and</w:t>
      </w:r>
      <w:r>
        <w:t xml:space="preserve"> </w:t>
      </w:r>
      <w:r>
        <w:t xml:space="preserve">ethical citizens.</w:t>
      </w:r>
    </w:p>
  </w:footnote>
  <w:footnote w:id="4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Currency is not defined by any product or artifact, including</w:t>
      </w:r>
      <w:r>
        <w:t xml:space="preserve"> </w:t>
      </w:r>
      <w:r>
        <w:t xml:space="preserve">peer reviewed journal articles or extramural funding.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FF34" w14:textId="77777777" w:rsidR="00140699" w:rsidRDefault="00140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A4034" w14:textId="77777777" w:rsidR="00140699" w:rsidRDefault="001406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899DD" w14:textId="77777777" w:rsidR="00140699" w:rsidRDefault="00140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D2DE"/>
    <w:multiLevelType w:val="multilevel"/>
    <w:tmpl w:val="E1622B7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" w16cid:durableId="2106221618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toc 1" w:uiPriority="39"/>
    <w:lsdException w:name="toc 2" w:uiPriority="39"/>
    <w:lsdException w:name="toc 3" w:uiPriority="39"/>
    <w:lsdException w:name="footer" w:uiPriority="9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95145B"/>
    <w:pPr>
      <w:keepNext/>
      <w:keepLines/>
      <w:spacing w:before="480" w:after="0"/>
      <w:outlineLvl w:val="0"/>
    </w:pPr>
    <w:rPr>
      <w:rFonts w:ascii="Aptos" w:eastAsiaTheme="majorEastAsia" w:hAnsi="Aptos" w:cstheme="majorBidi"/>
      <w:color w:val="C00000"/>
      <w:sz w:val="40"/>
      <w:szCs w:val="40"/>
    </w:rPr>
  </w:style>
  <w:style w:type="paragraph" w:styleId="Heading2">
    <w:name w:val="heading 2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1"/>
    </w:pPr>
    <w:rPr>
      <w:rFonts w:ascii="Aptos" w:eastAsiaTheme="majorEastAsia" w:hAnsi="Aptos" w:cstheme="majorBidi"/>
      <w:color w:val="C00000"/>
      <w:sz w:val="36"/>
      <w:szCs w:val="36"/>
    </w:rPr>
  </w:style>
  <w:style w:type="paragraph" w:styleId="Heading3">
    <w:name w:val="heading 3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2"/>
    </w:pPr>
    <w:rPr>
      <w:rFonts w:ascii="Aptos" w:eastAsiaTheme="majorEastAsia" w:hAnsi="Aptos" w:cstheme="majorBidi"/>
      <w:color w:val="C00000"/>
      <w:sz w:val="32"/>
      <w:szCs w:val="32"/>
    </w:rPr>
  </w:style>
  <w:style w:type="paragraph" w:styleId="Heading4">
    <w:name w:val="heading 4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3"/>
    </w:pPr>
    <w:rPr>
      <w:rFonts w:ascii="Aptos" w:eastAsiaTheme="majorEastAsia" w:hAnsi="Aptos" w:cstheme="majorBidi"/>
      <w:iCs/>
      <w:color w:val="C00000"/>
      <w:sz w:val="28"/>
      <w:szCs w:val="28"/>
    </w:rPr>
  </w:style>
  <w:style w:type="paragraph" w:styleId="Heading5">
    <w:name w:val="heading 5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4"/>
    </w:pPr>
    <w:rPr>
      <w:rFonts w:ascii="Aptos" w:eastAsiaTheme="majorEastAsia" w:hAnsi="Aptos" w:cstheme="majorBidi"/>
      <w:iCs/>
      <w:color w:val="C00000"/>
    </w:rPr>
  </w:style>
  <w:style w:type="paragraph" w:styleId="Heading6">
    <w:name w:val="heading 6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5"/>
    </w:pPr>
    <w:rPr>
      <w:rFonts w:ascii="Aptos" w:eastAsiaTheme="majorEastAsia" w:hAnsi="Aptos" w:cstheme="majorBidi"/>
      <w:color w:val="C00000"/>
      <w:sz w:val="20"/>
      <w:szCs w:val="20"/>
    </w:rPr>
  </w:style>
  <w:style w:type="paragraph" w:styleId="Heading7">
    <w:name w:val="heading 7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6"/>
    </w:pPr>
    <w:rPr>
      <w:rFonts w:ascii="Aptos" w:eastAsiaTheme="majorEastAsia" w:hAnsi="Aptos" w:cstheme="majorBidi"/>
      <w:color w:val="C00000"/>
      <w:sz w:val="22"/>
      <w:szCs w:val="22"/>
    </w:rPr>
  </w:style>
  <w:style w:type="paragraph" w:styleId="Heading8">
    <w:name w:val="heading 8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7"/>
    </w:pPr>
    <w:rPr>
      <w:rFonts w:ascii="Aptos" w:eastAsiaTheme="majorEastAsia" w:hAnsi="Aptos" w:cstheme="majorBidi"/>
      <w:color w:val="C00000"/>
      <w:sz w:val="22"/>
      <w:szCs w:val="22"/>
    </w:rPr>
  </w:style>
  <w:style w:type="paragraph" w:styleId="Heading9">
    <w:name w:val="heading 9"/>
    <w:basedOn w:val="Normal"/>
    <w:next w:val="BodyText"/>
    <w:uiPriority w:val="9"/>
    <w:unhideWhenUsed/>
    <w:qFormat/>
    <w:rsid w:val="0095145B"/>
    <w:pPr>
      <w:keepNext/>
      <w:keepLines/>
      <w:spacing w:before="200" w:after="0"/>
      <w:outlineLvl w:val="8"/>
    </w:pPr>
    <w:rPr>
      <w:rFonts w:ascii="Aptos" w:eastAsiaTheme="majorEastAsia" w:hAnsi="Aptos" w:cstheme="majorBidi"/>
      <w:color w:val="C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95145B"/>
    <w:pPr>
      <w:keepNext/>
      <w:keepLines/>
      <w:spacing w:before="480" w:after="240"/>
    </w:pPr>
    <w:rPr>
      <w:rFonts w:ascii="Aptos" w:eastAsiaTheme="majorEastAsia" w:hAnsi="Aptos" w:cstheme="majorBidi"/>
      <w:color w:val="C00000"/>
      <w:sz w:val="56"/>
      <w:szCs w:val="56"/>
    </w:rPr>
  </w:style>
  <w:style w:type="paragraph" w:styleId="Subtitle">
    <w:name w:val="Subtitle"/>
    <w:basedOn w:val="Title"/>
    <w:next w:val="BodyText"/>
    <w:qFormat/>
    <w:rsid w:val="0095145B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95145B"/>
    <w:pPr>
      <w:keepNext/>
      <w:keepLines/>
    </w:pPr>
  </w:style>
  <w:style w:type="paragraph" w:styleId="Date">
    <w:name w:val="Date"/>
    <w:next w:val="BodyText"/>
    <w:qFormat/>
    <w:rsid w:val="0095145B"/>
    <w:pPr>
      <w:keepNext/>
      <w:keepLines/>
    </w:pPr>
    <w:rPr>
      <w:rFonts w:ascii="Aptos" w:hAnsi="Aptos"/>
    </w:rPr>
  </w:style>
  <w:style w:type="paragraph" w:customStyle="1" w:styleId="Abstract">
    <w:name w:val="Abstract"/>
    <w:basedOn w:val="Normal"/>
    <w:next w:val="BodyText"/>
    <w:qFormat/>
    <w:rsid w:val="0095145B"/>
    <w:pPr>
      <w:keepNext/>
      <w:keepLines/>
      <w:spacing w:before="300" w:after="300"/>
    </w:pPr>
    <w:rPr>
      <w:rFonts w:ascii="Aptos" w:hAnsi="Aptos"/>
      <w:sz w:val="22"/>
      <w:szCs w:val="22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rPr>
      <w:rFonts w:ascii="Consolas" w:hAnsi="Consolas"/>
      <w:sz w:val="22"/>
    </w:rPr>
  </w:style>
  <w:style w:type="character" w:styleId="FootnoteReference">
    <w:name w:val="footnote reference"/>
    <w:basedOn w:val="CaptionChar"/>
    <w:rsid w:val="003B3BFC"/>
    <w:rPr>
      <w:rFonts w:ascii="Aptos" w:hAnsi="Aptos"/>
      <w:color w:val="C00000"/>
      <w:vertAlign w:val="superscript"/>
    </w:rPr>
  </w:style>
  <w:style w:type="character" w:styleId="Hyperlink">
    <w:name w:val="Hyperlink"/>
    <w:basedOn w:val="CaptionChar"/>
    <w:uiPriority w:val="99"/>
    <w:rsid w:val="003B3BFC"/>
    <w:rPr>
      <w:rFonts w:ascii="Aptos" w:hAnsi="Aptos"/>
      <w:color w:val="C00000"/>
    </w:rPr>
  </w:style>
  <w:style w:type="paragraph" w:styleId="TOCHeading">
    <w:name w:val="TOC Heading"/>
    <w:basedOn w:val="Heading1"/>
    <w:next w:val="BodyText"/>
    <w:uiPriority w:val="39"/>
    <w:unhideWhenUsed/>
    <w:qFormat/>
    <w:rsid w:val="0095145B"/>
    <w:pPr>
      <w:spacing w:before="240" w:line="259" w:lineRule="auto"/>
      <w:outlineLvl w:val="9"/>
    </w:pPr>
    <w:rPr>
      <w:sz w:val="36"/>
      <w:szCs w:val="36"/>
    </w:rPr>
  </w:style>
  <w:style w:type="paragraph" w:styleId="TOC1">
    <w:name w:val="toc 1"/>
    <w:basedOn w:val="Normal"/>
    <w:next w:val="Normal"/>
    <w:autoRedefine/>
    <w:uiPriority w:val="39"/>
    <w:rsid w:val="0095145B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514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95145B"/>
    <w:pPr>
      <w:spacing w:after="100"/>
      <w:ind w:left="480"/>
    </w:pPr>
  </w:style>
  <w:style w:type="paragraph" w:styleId="Header">
    <w:name w:val="header"/>
    <w:basedOn w:val="Normal"/>
    <w:link w:val="HeaderChar"/>
    <w:rsid w:val="001406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40699"/>
  </w:style>
  <w:style w:type="paragraph" w:styleId="Footer">
    <w:name w:val="footer"/>
    <w:basedOn w:val="Normal"/>
    <w:link w:val="FooterChar"/>
    <w:uiPriority w:val="99"/>
    <w:rsid w:val="001406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3.xml" /><Relationship Id="rId10" Type="http://schemas.openxmlformats.org/officeDocument/2006/relationships/header" Target="header2.xml" /><Relationship Id="rId11" Type="http://schemas.openxmlformats.org/officeDocument/2006/relationships/header" Target="header1.xml" /><Relationship Id="rId12" Type="http://schemas.openxmlformats.org/officeDocument/2006/relationships/footer" Target="footer2.xml" /><Relationship Id="rId13" Type="http://schemas.openxmlformats.org/officeDocument/2006/relationships/footer" Target="footer1.xml" /><Relationship Id="rId14" Type="http://schemas.openxmlformats.org/officeDocument/2006/relationships/footer" Target="footer3.xml" /><Relationship Type="http://schemas.openxmlformats.org/officeDocument/2006/relationships/hyperlink" Id="rId53" Target="chapter-1.html#ctaf" TargetMode="External" /><Relationship Type="http://schemas.openxmlformats.org/officeDocument/2006/relationships/hyperlink" Id="rId55" Target="chapter-1.html#frc" TargetMode="External" /><Relationship Type="http://schemas.openxmlformats.org/officeDocument/2006/relationships/hyperlink" Id="rId25" Target="chapter-2.html#chapter-2-section-3ai" TargetMode="External" /><Relationship Type="http://schemas.openxmlformats.org/officeDocument/2006/relationships/hyperlink" Id="rId34" Target="chapter-3.html#chapter-3-section-1" TargetMode="External" /><Relationship Type="http://schemas.openxmlformats.org/officeDocument/2006/relationships/hyperlink" Id="rId22" Target="chapter-3.html#chapter-3-section-2" TargetMode="External" /><Relationship Type="http://schemas.openxmlformats.org/officeDocument/2006/relationships/hyperlink" Id="rId24" Target="chapter-3.html#chapter-3-section-2c" TargetMode="External" /><Relationship Type="http://schemas.openxmlformats.org/officeDocument/2006/relationships/hyperlink" Id="rId50" Target="chapter-3.html#chapter-3-section-3aiii" TargetMode="External" /><Relationship Type="http://schemas.openxmlformats.org/officeDocument/2006/relationships/hyperlink" Id="rId49" Target="chapter-3.html#chapter-3-section-5" TargetMode="External" /><Relationship Type="http://schemas.openxmlformats.org/officeDocument/2006/relationships/hyperlink" Id="rId45" Target="chapter-3.html#chapter-3-section-6" TargetMode="External" /><Relationship Type="http://schemas.openxmlformats.org/officeDocument/2006/relationships/hyperlink" Id="rId52" Target="chapter-3.html#chapter-3-section-7a" TargetMode="External" /><Relationship Type="http://schemas.openxmlformats.org/officeDocument/2006/relationships/hyperlink" Id="rId23" Target="chapter-4.html#chapter-4-section-1ai" TargetMode="External" /><Relationship Type="http://schemas.openxmlformats.org/officeDocument/2006/relationships/hyperlink" Id="rId36" Target="chapter-5.html#chapter-5-section-1" TargetMode="External" /><Relationship Type="http://schemas.openxmlformats.org/officeDocument/2006/relationships/hyperlink" Id="rId54" Target="chapter-5.html#chapter-5-section-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53" Target="chapter-1.html#ctaf" TargetMode="External" /><Relationship Type="http://schemas.openxmlformats.org/officeDocument/2006/relationships/hyperlink" Id="rId55" Target="chapter-1.html#frc" TargetMode="External" /><Relationship Type="http://schemas.openxmlformats.org/officeDocument/2006/relationships/hyperlink" Id="rId25" Target="chapter-2.html#chapter-2-section-3ai" TargetMode="External" /><Relationship Type="http://schemas.openxmlformats.org/officeDocument/2006/relationships/hyperlink" Id="rId34" Target="chapter-3.html#chapter-3-section-1" TargetMode="External" /><Relationship Type="http://schemas.openxmlformats.org/officeDocument/2006/relationships/hyperlink" Id="rId22" Target="chapter-3.html#chapter-3-section-2" TargetMode="External" /><Relationship Type="http://schemas.openxmlformats.org/officeDocument/2006/relationships/hyperlink" Id="rId24" Target="chapter-3.html#chapter-3-section-2c" TargetMode="External" /><Relationship Type="http://schemas.openxmlformats.org/officeDocument/2006/relationships/hyperlink" Id="rId50" Target="chapter-3.html#chapter-3-section-3aiii" TargetMode="External" /><Relationship Type="http://schemas.openxmlformats.org/officeDocument/2006/relationships/hyperlink" Id="rId49" Target="chapter-3.html#chapter-3-section-5" TargetMode="External" /><Relationship Type="http://schemas.openxmlformats.org/officeDocument/2006/relationships/hyperlink" Id="rId45" Target="chapter-3.html#chapter-3-section-6" TargetMode="External" /><Relationship Type="http://schemas.openxmlformats.org/officeDocument/2006/relationships/hyperlink" Id="rId52" Target="chapter-3.html#chapter-3-section-7a" TargetMode="External" /><Relationship Type="http://schemas.openxmlformats.org/officeDocument/2006/relationships/hyperlink" Id="rId23" Target="chapter-4.html#chapter-4-section-1ai" TargetMode="External" /><Relationship Type="http://schemas.openxmlformats.org/officeDocument/2006/relationships/hyperlink" Id="rId36" Target="chapter-5.html#chapter-5-section-1" TargetMode="External" /><Relationship Type="http://schemas.openxmlformats.org/officeDocument/2006/relationships/hyperlink" Id="rId54" Target="chapter-5.html#chapter-5-section-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WPI Faculty Handbook:  Chapter Three - Tenure</dc:title>
  <dc:creator/>
  <cp:keywords/>
  <dcterms:created xsi:type="dcterms:W3CDTF">2025-04-13T11:30:00Z</dcterms:created>
  <dcterms:modified xsi:type="dcterms:W3CDTF">2025-04-13T11:30:00Z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