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WPI</w:t>
      </w:r>
      <w:r>
        <w:t xml:space="preserve"> </w:t>
      </w:r>
      <w:r>
        <w:t xml:space="preserve">Faculty</w:t>
      </w:r>
      <w:r>
        <w:t xml:space="preserve"> </w:t>
      </w:r>
      <w:r>
        <w:t xml:space="preserve">Handbook:</w:t>
      </w:r>
      <w:r>
        <w:t xml:space="preserve"> </w:t>
      </w:r>
      <w:r>
        <w:t xml:space="preserve">Chapter</w:t>
      </w:r>
      <w:r>
        <w:t xml:space="preserve"> </w:t>
      </w:r>
      <w:r>
        <w:t xml:space="preserve">Five</w:t>
      </w:r>
      <w:r>
        <w:t xml:space="preserve"> </w:t>
      </w:r>
      <w:r>
        <w:t xml:space="preserve">-</w:t>
      </w:r>
      <w:r>
        <w:t xml:space="preserve"> </w:t>
      </w:r>
      <w:r>
        <w:t xml:space="preserve">Faculty</w:t>
      </w:r>
      <w:r>
        <w:t xml:space="preserve"> </w:t>
      </w:r>
      <w:r>
        <w:t xml:space="preserve">Grievance</w:t>
      </w:r>
      <w:r>
        <w:t xml:space="preserve"> </w:t>
      </w:r>
      <w:r>
        <w:t xml:space="preserve">Procedures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"1-5" \h \z \u</w:instrText>
            <w:fldChar w:fldCharType="separate"/>
            <w:fldChar w:fldCharType="end"/>
          </w:r>
        </w:p>
      </w:sdtContent>
    </w:sdt>
    <w:p>
      <w:r>
        <w:pict>
          <v:rect style="width:0;height:1.5pt" o:hralign="center" o:hrstd="t" o:hr="t"/>
        </w:pict>
      </w:r>
    </w:p>
    <w:p>
      <w:pPr>
        <w:pStyle w:val="FirstParagraph"/>
      </w:pPr>
    </w:p>
    <w:p>
      <w:pPr>
        <w:pStyle w:val="Heading1"/>
      </w:pPr>
      <w:bookmarkStart w:id="20" w:name="chapter-5"/>
      <w:r>
        <w:t xml:space="preserve">Chapter Five - Faculty Grievance Procedures</w:t>
      </w:r>
      <w:bookmarkEnd w:id="20"/>
    </w:p>
    <w:p>
      <w:pPr>
        <w:pStyle w:val="Heading2"/>
      </w:pPr>
      <w:bookmarkStart w:id="21" w:name="chapter-5-section-1"/>
      <w:r>
        <w:t xml:space="preserve">1. Procedure for Complaints of Academic Freedom Violations</w:t>
      </w:r>
      <w:bookmarkEnd w:id="21"/>
    </w:p>
    <w:p>
      <w:pPr>
        <w:pStyle w:val="FirstParagraph"/>
      </w:pPr>
      <w:r>
        <w:t xml:space="preserve">(Approved by the Faculty,</w:t>
      </w:r>
      <w:r>
        <w:t xml:space="preserve"> </w:t>
      </w:r>
      <w:r>
        <w:rPr>
          <w:i/>
        </w:rPr>
        <w:t xml:space="preserve">March 13, 2024</w:t>
      </w:r>
      <w:r>
        <w:t xml:space="preserve">)</w:t>
      </w:r>
      <w:r>
        <w:br/>
      </w:r>
      <w:r>
        <w:t xml:space="preserve">(Approved by the Board of Trustees,</w:t>
      </w:r>
      <w:r>
        <w:t xml:space="preserve"> </w:t>
      </w:r>
      <w:r>
        <w:rPr>
          <w:i/>
        </w:rPr>
        <w:t xml:space="preserve">May 9, 2024</w:t>
      </w:r>
      <w:r>
        <w:t xml:space="preserve">)</w:t>
      </w:r>
    </w:p>
    <w:p>
      <w:pPr>
        <w:pStyle w:val="Heading3"/>
      </w:pPr>
      <w:bookmarkStart w:id="22" w:name="a.-context"/>
      <w:r>
        <w:t xml:space="preserve">a. Context</w:t>
      </w:r>
      <w:bookmarkEnd w:id="22"/>
    </w:p>
    <w:p>
      <w:pPr>
        <w:pStyle w:val="FirstParagraph"/>
      </w:pPr>
      <w:r>
        <w:t xml:space="preserve">All faculty members at WPI - whether tenured, non-tenured, full-time,</w:t>
      </w:r>
      <w:r>
        <w:t xml:space="preserve"> </w:t>
      </w:r>
      <w:r>
        <w:t xml:space="preserve">or part-time - have academic freedom as described in</w:t>
      </w:r>
      <w:r>
        <w:t xml:space="preserve"> </w:t>
      </w:r>
      <w:hyperlink r:id="rId23">
        <w:r>
          <w:rPr>
            <w:rStyle w:val="Hyperlink"/>
          </w:rPr>
          <w:t xml:space="preserve">Chapter One: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Governance, Section Two, Part V</w:t>
        </w:r>
      </w:hyperlink>
      <w:r>
        <w:t xml:space="preserve"> </w:t>
      </w:r>
      <w:r>
        <w:t xml:space="preserve">of this Handbook. The guarantee of academic freedom requires that any</w:t>
      </w:r>
      <w:r>
        <w:t xml:space="preserve"> </w:t>
      </w:r>
      <w:r>
        <w:t xml:space="preserve">faculty member who believes their academic freedom has been violated</w:t>
      </w:r>
      <w:r>
        <w:t xml:space="preserve"> </w:t>
      </w:r>
      <w:r>
        <w:t xml:space="preserve">must be able to submit and have their complaint adjudicated by the</w:t>
      </w:r>
      <w:r>
        <w:t xml:space="preserve"> </w:t>
      </w:r>
      <w:r>
        <w:t xml:space="preserve">Committee on Tenure and Academic Freedom (CTAF) without incurring any</w:t>
      </w:r>
      <w:r>
        <w:t xml:space="preserve"> </w:t>
      </w:r>
      <w:r>
        <w:t xml:space="preserve">additional risk.</w:t>
      </w:r>
    </w:p>
    <w:p>
      <w:pPr>
        <w:pStyle w:val="BodyText"/>
      </w:pPr>
      <w:r>
        <w:t xml:space="preserve">The procedures described below are designed to allow CTAF to ascertain</w:t>
      </w:r>
      <w:r>
        <w:t xml:space="preserve"> </w:t>
      </w:r>
      <w:r>
        <w:t xml:space="preserve">the facts needed to reach a decision with respect to allegations of</w:t>
      </w:r>
      <w:r>
        <w:t xml:space="preserve"> </w:t>
      </w:r>
      <w:r>
        <w:t xml:space="preserve">academic freedom violations, while protecting faculty members from</w:t>
      </w:r>
      <w:r>
        <w:t xml:space="preserve"> </w:t>
      </w:r>
      <w:r>
        <w:t xml:space="preserve">harm during the process. This balance is achieved by having CTAF</w:t>
      </w:r>
      <w:r>
        <w:t xml:space="preserve"> </w:t>
      </w:r>
      <w:r>
        <w:t xml:space="preserve">first reach a preliminary finding based on information provided only</w:t>
      </w:r>
      <w:r>
        <w:t xml:space="preserve"> </w:t>
      </w:r>
      <w:r>
        <w:t xml:space="preserve">by those individuals chosen by the faculty member bringing the</w:t>
      </w:r>
      <w:r>
        <w:t xml:space="preserve"> </w:t>
      </w:r>
      <w:r>
        <w:t xml:space="preserve">complaint. And only if a preliminary finding that an academic freedom</w:t>
      </w:r>
      <w:r>
        <w:t xml:space="preserve"> </w:t>
      </w:r>
      <w:r>
        <w:t xml:space="preserve">violation was likely to have occurred, would the complaining faculty</w:t>
      </w:r>
      <w:r>
        <w:t xml:space="preserve"> </w:t>
      </w:r>
      <w:r>
        <w:t xml:space="preserve">member be required to allow CTAF to contact all other relevant</w:t>
      </w:r>
      <w:r>
        <w:t xml:space="preserve"> </w:t>
      </w:r>
      <w:r>
        <w:t xml:space="preserve">individuals if it were to make a final determination that an academic</w:t>
      </w:r>
      <w:r>
        <w:t xml:space="preserve"> </w:t>
      </w:r>
      <w:r>
        <w:t xml:space="preserve">freedom violation had occurred. In this manner, no individual may be</w:t>
      </w:r>
      <w:r>
        <w:t xml:space="preserve"> </w:t>
      </w:r>
      <w:r>
        <w:t xml:space="preserve">informed of the complaint without the permission of the faculty member</w:t>
      </w:r>
      <w:r>
        <w:t xml:space="preserve"> </w:t>
      </w:r>
      <w:r>
        <w:t xml:space="preserve">raising the complaint, while all relevant individuals must be</w:t>
      </w:r>
      <w:r>
        <w:t xml:space="preserve"> </w:t>
      </w:r>
      <w:r>
        <w:t xml:space="preserve">interviewed before a violation of academic freedom is finally</w:t>
      </w:r>
      <w:r>
        <w:t xml:space="preserve"> </w:t>
      </w:r>
      <w:r>
        <w:t xml:space="preserve">established.</w:t>
      </w:r>
    </w:p>
    <w:p>
      <w:pPr>
        <w:pStyle w:val="BodyText"/>
      </w:pPr>
      <w:r>
        <w:t xml:space="preserve">Any faculty member who believes their academic freedom has been</w:t>
      </w:r>
      <w:r>
        <w:t xml:space="preserve"> </w:t>
      </w:r>
      <w:r>
        <w:t xml:space="preserve">violated may submit a complaint to the Committee on Tenure and</w:t>
      </w:r>
      <w:r>
        <w:t xml:space="preserve"> </w:t>
      </w:r>
      <w:r>
        <w:t xml:space="preserve">Academic Freedom (CTAF), which has responsibility to follow the</w:t>
      </w:r>
      <w:r>
        <w:t xml:space="preserve"> </w:t>
      </w:r>
      <w:r>
        <w:t xml:space="preserve">procedures described below to evaluate whether an individual's</w:t>
      </w:r>
      <w:r>
        <w:t xml:space="preserve"> </w:t>
      </w:r>
      <w:r>
        <w:t xml:space="preserve">academic freedom has been violated. It is not CTAF's responsibility</w:t>
      </w:r>
      <w:r>
        <w:t xml:space="preserve"> </w:t>
      </w:r>
      <w:r>
        <w:t xml:space="preserve">to assign intentionality or to sanction any individual. Instead, if</w:t>
      </w:r>
      <w:r>
        <w:t xml:space="preserve"> </w:t>
      </w:r>
      <w:r>
        <w:t xml:space="preserve">CTAF determines that academic freedom has been violated, CTAF will</w:t>
      </w:r>
      <w:r>
        <w:t xml:space="preserve"> </w:t>
      </w:r>
      <w:r>
        <w:t xml:space="preserve">send a detailed report on the finding with recommendations to the</w:t>
      </w:r>
      <w:r>
        <w:t xml:space="preserve"> </w:t>
      </w:r>
      <w:r>
        <w:t xml:space="preserve">Provost. Based on the report, the Provost will take appropriate</w:t>
      </w:r>
      <w:r>
        <w:t xml:space="preserve"> </w:t>
      </w:r>
      <w:r>
        <w:t xml:space="preserve">administrative actions as necessary.</w:t>
      </w:r>
    </w:p>
    <w:p>
      <w:pPr>
        <w:pStyle w:val="Heading3"/>
      </w:pPr>
      <w:bookmarkStart w:id="24" w:name="X25da4102c34f071e4b7503266171781318bad5a"/>
      <w:r>
        <w:t xml:space="preserve">b. Evaluation of Complaints of Academic Freedom Violation</w:t>
      </w:r>
      <w:bookmarkEnd w:id="24"/>
    </w:p>
    <w:p>
      <w:pPr>
        <w:pStyle w:val="FirstParagraph"/>
      </w:pPr>
      <w:r>
        <w:t xml:space="preserve">A violation of academic freedom is any serious interference,</w:t>
      </w:r>
      <w:r>
        <w:t xml:space="preserve"> </w:t>
      </w:r>
      <w:r>
        <w:t xml:space="preserve">restriction, or suppression of the rights and liberties that arise</w:t>
      </w:r>
      <w:r>
        <w:t xml:space="preserve"> </w:t>
      </w:r>
      <w:r>
        <w:t xml:space="preserve">from the definition of academic freedom (provided in</w:t>
      </w:r>
      <w:r>
        <w:t xml:space="preserve"> </w:t>
      </w:r>
      <w:hyperlink r:id="rId23">
        <w:r>
          <w:rPr>
            <w:rStyle w:val="Hyperlink"/>
          </w:rPr>
          <w:t xml:space="preserve">Chapter One: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Governance, Section Two, Part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V</w:t>
        </w:r>
      </w:hyperlink>
      <w:r>
        <w:t xml:space="preserve">). These rights enable faculty</w:t>
      </w:r>
      <w:r>
        <w:t xml:space="preserve"> </w:t>
      </w:r>
      <w:r>
        <w:t xml:space="preserve">members as scholars, educators, and citizens of the University to</w:t>
      </w:r>
      <w:r>
        <w:t xml:space="preserve"> </w:t>
      </w:r>
      <w:r>
        <w:t xml:space="preserve">pursue and disseminate knowledge and ideas without undue influence,</w:t>
      </w:r>
      <w:r>
        <w:t xml:space="preserve"> </w:t>
      </w:r>
      <w:r>
        <w:t xml:space="preserve">censorship, or discrimination. Violations of academic freedom can</w:t>
      </w:r>
      <w:r>
        <w:t xml:space="preserve"> </w:t>
      </w:r>
      <w:r>
        <w:t xml:space="preserve">limit these rights in a wide variety of ways, and in certain cases can</w:t>
      </w:r>
      <w:r>
        <w:t xml:space="preserve"> </w:t>
      </w:r>
      <w:r>
        <w:t xml:space="preserve">result in decisions not to renew probationary, tenure-track</w:t>
      </w:r>
      <w:r>
        <w:t xml:space="preserve"> </w:t>
      </w:r>
      <w:r>
        <w:t xml:space="preserve">appointments; decisions not to renew or terminate appointments;</w:t>
      </w:r>
      <w:r>
        <w:t xml:space="preserve"> </w:t>
      </w:r>
      <w:r>
        <w:t xml:space="preserve">negative decisions on tenure; and negative decisions on promotions of</w:t>
      </w:r>
      <w:r>
        <w:t xml:space="preserve"> </w:t>
      </w:r>
      <w:r>
        <w:t xml:space="preserve">tenured, tenure tack, and non-tenure track faculty members.</w:t>
      </w:r>
    </w:p>
    <w:p>
      <w:pPr>
        <w:pStyle w:val="BodyText"/>
      </w:pPr>
      <w:r>
        <w:t xml:space="preserve">CTAF shall endeavor to ascertain the facts of the academic freedom</w:t>
      </w:r>
      <w:r>
        <w:t xml:space="preserve"> </w:t>
      </w:r>
      <w:r>
        <w:t xml:space="preserve">case using the procedures described below. At all times, case</w:t>
      </w:r>
      <w:r>
        <w:t xml:space="preserve"> </w:t>
      </w:r>
      <w:r>
        <w:t xml:space="preserve">materials will be confidential, shared only among the members of the</w:t>
      </w:r>
      <w:r>
        <w:t xml:space="preserve"> </w:t>
      </w:r>
      <w:r>
        <w:t xml:space="preserve">Academic Freedom Subcommittee (AFS) chosen to evaluate the case and</w:t>
      </w:r>
      <w:r>
        <w:t xml:space="preserve"> </w:t>
      </w:r>
      <w:r>
        <w:t xml:space="preserve">the faculty governance coordinator. To ensure a fair and effective</w:t>
      </w:r>
      <w:r>
        <w:t xml:space="preserve"> </w:t>
      </w:r>
      <w:r>
        <w:t xml:space="preserve">resolution process, cases should be filed in a timely manner. CTAF</w:t>
      </w:r>
      <w:r>
        <w:t xml:space="preserve"> </w:t>
      </w:r>
      <w:r>
        <w:t xml:space="preserve">will endeavor to move through the process in a timely fashion.</w:t>
      </w:r>
    </w:p>
    <w:p>
      <w:pPr>
        <w:pStyle w:val="BodyText"/>
      </w:pPr>
      <w:r>
        <w:t xml:space="preserve">If at any time during the process, the complainant or other relevant</w:t>
      </w:r>
      <w:r>
        <w:t xml:space="preserve"> </w:t>
      </w:r>
      <w:r>
        <w:t xml:space="preserve">individuals leave WPI, the complainant can still proceed with the</w:t>
      </w:r>
      <w:r>
        <w:t xml:space="preserve"> </w:t>
      </w:r>
      <w:r>
        <w:t xml:space="preserve">process.</w:t>
      </w:r>
    </w:p>
    <w:p>
      <w:pPr>
        <w:pStyle w:val="Heading4"/>
      </w:pPr>
      <w:bookmarkStart w:id="25" w:name="chapter-5-section-1bi"/>
      <w:r>
        <w:t xml:space="preserve">i. Initial Phase</w:t>
      </w:r>
      <w:bookmarkEnd w:id="25"/>
    </w:p>
    <w:p>
      <w:pPr>
        <w:pStyle w:val="Heading5"/>
      </w:pPr>
      <w:bookmarkStart w:id="26" w:name="chapter-5-section-1bi1"/>
      <w:r>
        <w:t xml:space="preserve">1. Optional Informal Consultation</w:t>
      </w:r>
      <w:bookmarkEnd w:id="26"/>
    </w:p>
    <w:p>
      <w:pPr>
        <w:pStyle w:val="FirstParagraph"/>
      </w:pPr>
      <w:r>
        <w:t xml:space="preserve">The Chair of CTAF is available for informal consultation with the</w:t>
      </w:r>
      <w:r>
        <w:t xml:space="preserve"> </w:t>
      </w:r>
      <w:r>
        <w:t xml:space="preserve">complainant at any time before formal procedures are initiated</w:t>
      </w:r>
      <w:r>
        <w:t xml:space="preserve"> </w:t>
      </w:r>
      <w:r>
        <w:t xml:space="preserve">(beginning with</w:t>
      </w:r>
      <w:r>
        <w:t xml:space="preserve"> </w:t>
      </w:r>
      <w:hyperlink r:id="rId27">
        <w:r>
          <w:rPr>
            <w:rStyle w:val="Hyperlink"/>
          </w:rPr>
          <w:t xml:space="preserve">Step 2. Submission of a Formal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Complaint</w:t>
        </w:r>
      </w:hyperlink>
      <w:r>
        <w:t xml:space="preserve">, below). At this</w:t>
      </w:r>
      <w:r>
        <w:t xml:space="preserve"> </w:t>
      </w:r>
      <w:r>
        <w:t xml:space="preserve">time, the Chair can review evidence provided, discuss the complaint</w:t>
      </w:r>
      <w:r>
        <w:t xml:space="preserve"> </w:t>
      </w:r>
      <w:r>
        <w:t xml:space="preserve">with the complainant and answer questions about the complaint</w:t>
      </w:r>
      <w:r>
        <w:t xml:space="preserve"> </w:t>
      </w:r>
      <w:r>
        <w:t xml:space="preserve">process. There is no investigation and no involvement of other</w:t>
      </w:r>
      <w:r>
        <w:t xml:space="preserve"> </w:t>
      </w:r>
      <w:r>
        <w:t xml:space="preserve">individuals at this time. Instead, the intent is to provide a</w:t>
      </w:r>
      <w:r>
        <w:t xml:space="preserve"> </w:t>
      </w:r>
      <w:r>
        <w:t xml:space="preserve">mechanism by which the complainant may receive information that may</w:t>
      </w:r>
      <w:r>
        <w:t xml:space="preserve"> </w:t>
      </w:r>
      <w:r>
        <w:t xml:space="preserve">help them to decide whether or not to submit a formal complaint,</w:t>
      </w:r>
      <w:r>
        <w:t xml:space="preserve"> </w:t>
      </w:r>
      <w:r>
        <w:t xml:space="preserve">although the complainant may submit a formal complaint without asking</w:t>
      </w:r>
      <w:r>
        <w:t xml:space="preserve"> </w:t>
      </w:r>
      <w:r>
        <w:t xml:space="preserve">for this consultation. An oral or informal written inquiry from the</w:t>
      </w:r>
      <w:r>
        <w:t xml:space="preserve"> </w:t>
      </w:r>
      <w:r>
        <w:t xml:space="preserve">complainant is not considered a formal complaint for the purposes of</w:t>
      </w:r>
      <w:r>
        <w:t xml:space="preserve"> </w:t>
      </w:r>
      <w:r>
        <w:t xml:space="preserve">these rules. All information shared and discussed during this</w:t>
      </w:r>
      <w:r>
        <w:t xml:space="preserve"> </w:t>
      </w:r>
      <w:r>
        <w:t xml:space="preserve">informal consultative phase must be held in confidence by the Chair of</w:t>
      </w:r>
      <w:r>
        <w:t xml:space="preserve"> </w:t>
      </w:r>
      <w:r>
        <w:t xml:space="preserve">CTAF.</w:t>
      </w:r>
    </w:p>
    <w:p>
      <w:pPr>
        <w:pStyle w:val="BodyText"/>
      </w:pPr>
      <w:r>
        <w:t xml:space="preserve">If the complaint involves the Chair of CTAF or if the complainant is</w:t>
      </w:r>
      <w:r>
        <w:t xml:space="preserve"> </w:t>
      </w:r>
      <w:r>
        <w:t xml:space="preserve">in the same department as the Chair of CTAF, then the complainant</w:t>
      </w:r>
      <w:r>
        <w:t xml:space="preserve"> </w:t>
      </w:r>
      <w:r>
        <w:t xml:space="preserve">should consult with the secretary of CTAF, who will serve in the role</w:t>
      </w:r>
      <w:r>
        <w:t xml:space="preserve"> </w:t>
      </w:r>
      <w:r>
        <w:t xml:space="preserve">of the Chair throughout the process.</w:t>
      </w:r>
    </w:p>
    <w:p>
      <w:pPr>
        <w:pStyle w:val="Heading5"/>
      </w:pPr>
      <w:bookmarkStart w:id="28" w:name="chapter-5-section-1bi2"/>
      <w:r>
        <w:t xml:space="preserve">2. Submission of a Formal Complaint</w:t>
      </w:r>
      <w:bookmarkEnd w:id="28"/>
    </w:p>
    <w:p>
      <w:pPr>
        <w:pStyle w:val="FirstParagraph"/>
      </w:pPr>
      <w:r>
        <w:t xml:space="preserve">To initiate a formal complaint of academic freedom violation for</w:t>
      </w:r>
      <w:r>
        <w:t xml:space="preserve"> </w:t>
      </w:r>
      <w:r>
        <w:t xml:space="preserve">consideration by CTAF, the complainant must notify the Chair of CTAF</w:t>
      </w:r>
      <w:r>
        <w:t xml:space="preserve"> </w:t>
      </w:r>
      <w:r>
        <w:t xml:space="preserve">(or their replacement) in writing that they intend to submit a</w:t>
      </w:r>
      <w:r>
        <w:t xml:space="preserve"> </w:t>
      </w:r>
      <w:r>
        <w:t xml:space="preserve">complaint. Within two weeks of that notification, the complainant</w:t>
      </w:r>
      <w:r>
        <w:t xml:space="preserve"> </w:t>
      </w:r>
      <w:r>
        <w:t xml:space="preserve">must submit the following:</w:t>
      </w:r>
    </w:p>
    <w:p>
      <w:pPr>
        <w:numPr>
          <w:ilvl w:val="0"/>
          <w:numId w:val="1001"/>
        </w:numPr>
        <w:pStyle w:val="Compact"/>
      </w:pPr>
      <w:r>
        <w:t xml:space="preserve">a signed, written statement describing the substance and details of</w:t>
      </w:r>
      <w:r>
        <w:t xml:space="preserve"> </w:t>
      </w:r>
      <w:r>
        <w:t xml:space="preserve">the complaint;</w:t>
      </w:r>
    </w:p>
    <w:p>
      <w:pPr>
        <w:numPr>
          <w:ilvl w:val="0"/>
          <w:numId w:val="1001"/>
        </w:numPr>
        <w:pStyle w:val="Compact"/>
      </w:pPr>
      <w:r>
        <w:t xml:space="preserve">any evidence they wish to have considered to support the allegation</w:t>
      </w:r>
      <w:r>
        <w:t xml:space="preserve"> </w:t>
      </w:r>
      <w:r>
        <w:t xml:space="preserve">that their academic freedom has been violated;</w:t>
      </w:r>
    </w:p>
    <w:p>
      <w:pPr>
        <w:numPr>
          <w:ilvl w:val="0"/>
          <w:numId w:val="1001"/>
        </w:numPr>
        <w:pStyle w:val="Compact"/>
      </w:pPr>
      <w:r>
        <w:t xml:space="preserve">an initial list of people relevant to the case whom the complainant</w:t>
      </w:r>
      <w:r>
        <w:t xml:space="preserve"> </w:t>
      </w:r>
      <w:r>
        <w:t xml:space="preserve">agrees may be interviewed by CTAF; and</w:t>
      </w:r>
    </w:p>
    <w:p>
      <w:pPr>
        <w:numPr>
          <w:ilvl w:val="0"/>
          <w:numId w:val="1001"/>
        </w:numPr>
        <w:pStyle w:val="Compact"/>
      </w:pPr>
      <w:r>
        <w:t xml:space="preserve">a statement of any potential conflicts of interest relevant to the</w:t>
      </w:r>
      <w:r>
        <w:t xml:space="preserve"> </w:t>
      </w:r>
      <w:r>
        <w:t xml:space="preserve">case that may exist among current members of CTAF.</w:t>
      </w:r>
    </w:p>
    <w:p>
      <w:pPr>
        <w:pStyle w:val="FirstParagraph"/>
      </w:pPr>
      <w:r>
        <w:t xml:space="preserve">If the complaint involves the Provost, the Provost's role is replaced</w:t>
      </w:r>
      <w:r>
        <w:t xml:space="preserve"> </w:t>
      </w:r>
      <w:r>
        <w:t xml:space="preserve">by the President everywhere in this procedure.</w:t>
      </w:r>
    </w:p>
    <w:p>
      <w:pPr>
        <w:pStyle w:val="Heading5"/>
      </w:pPr>
      <w:bookmarkStart w:id="29" w:name="chapter-5-section-1bi3"/>
      <w:r>
        <w:t xml:space="preserve">3. Selection of the Academic Freedom Subcommittee (AFS)</w:t>
      </w:r>
      <w:bookmarkEnd w:id="29"/>
    </w:p>
    <w:p>
      <w:pPr>
        <w:pStyle w:val="FirstParagraph"/>
      </w:pPr>
      <w:r>
        <w:t xml:space="preserve">The CTAF Chair (or their replacement) and the next longest serving</w:t>
      </w:r>
      <w:r>
        <w:t xml:space="preserve"> </w:t>
      </w:r>
      <w:r>
        <w:t xml:space="preserve">CTAF member (who is not in the same department as the complainant and</w:t>
      </w:r>
      <w:r>
        <w:t xml:space="preserve"> </w:t>
      </w:r>
      <w:r>
        <w:t xml:space="preserve">does not have a conflict of interest) will perform an initial review</w:t>
      </w:r>
      <w:r>
        <w:t xml:space="preserve"> </w:t>
      </w:r>
      <w:r>
        <w:t xml:space="preserve">of the submission in order to select a five-member Academic Freedom</w:t>
      </w:r>
      <w:r>
        <w:t xml:space="preserve"> </w:t>
      </w:r>
      <w:r>
        <w:t xml:space="preserve">Subcommittee (AFS) consisting of themselves and three additional CTAF</w:t>
      </w:r>
      <w:r>
        <w:t xml:space="preserve"> </w:t>
      </w:r>
      <w:r>
        <w:t xml:space="preserve">members. These additional CTAF members must not have departmental</w:t>
      </w:r>
      <w:r>
        <w:t xml:space="preserve"> </w:t>
      </w:r>
      <w:r>
        <w:t xml:space="preserve">overlap or conflict of interest with the complainant nor have</w:t>
      </w:r>
      <w:r>
        <w:t xml:space="preserve"> </w:t>
      </w:r>
      <w:r>
        <w:t xml:space="preserve">conflicts of interest in the case. The five members of the AFS will</w:t>
      </w:r>
      <w:r>
        <w:t xml:space="preserve"> </w:t>
      </w:r>
      <w:r>
        <w:t xml:space="preserve">elect their own Chair.</w:t>
      </w:r>
    </w:p>
    <w:p>
      <w:pPr>
        <w:pStyle w:val="BodyText"/>
      </w:pPr>
      <w:r>
        <w:t xml:space="preserve">The AFS will investigate cases of alleged violations of academic</w:t>
      </w:r>
      <w:r>
        <w:t xml:space="preserve"> </w:t>
      </w:r>
      <w:r>
        <w:t xml:space="preserve">freedom as soon as possible, constrained by CTAF's Fall tenure case</w:t>
      </w:r>
      <w:r>
        <w:t xml:space="preserve"> </w:t>
      </w:r>
      <w:r>
        <w:t xml:space="preserve">workload and the availability of CTAF members to serve on the AFS.</w:t>
      </w:r>
    </w:p>
    <w:p>
      <w:pPr>
        <w:pStyle w:val="Heading5"/>
      </w:pPr>
      <w:bookmarkStart w:id="30" w:name="chapter-5-section-1bi4"/>
      <w:r>
        <w:t xml:space="preserve">4. No Conflict of Interest</w:t>
      </w:r>
      <w:bookmarkEnd w:id="30"/>
    </w:p>
    <w:p>
      <w:pPr>
        <w:pStyle w:val="FirstParagraph"/>
      </w:pPr>
      <w:r>
        <w:t xml:space="preserve">To the maximum extent practicable, steps should be taken to ensure an</w:t>
      </w:r>
      <w:r>
        <w:t xml:space="preserve"> </w:t>
      </w:r>
      <w:r>
        <w:t xml:space="preserve">impartial and unbiased process, ensuring that members of AFS have no</w:t>
      </w:r>
      <w:r>
        <w:t xml:space="preserve"> </w:t>
      </w:r>
      <w:r>
        <w:t xml:space="preserve">real or perceived unresolved personal, professional, or financial</w:t>
      </w:r>
      <w:r>
        <w:t xml:space="preserve"> </w:t>
      </w:r>
      <w:r>
        <w:t xml:space="preserve">conflicts of interest with those involved in the investigation that</w:t>
      </w:r>
      <w:r>
        <w:t xml:space="preserve"> </w:t>
      </w:r>
      <w:r>
        <w:t xml:space="preserve">could affect their ability to be objective.</w:t>
      </w:r>
    </w:p>
    <w:p>
      <w:pPr>
        <w:pStyle w:val="Heading5"/>
      </w:pPr>
      <w:bookmarkStart w:id="31" w:name="chapter-5-section-1bi5"/>
      <w:r>
        <w:t xml:space="preserve">5. Optional Mediation and Possible Informal Resolution</w:t>
      </w:r>
      <w:bookmarkEnd w:id="31"/>
    </w:p>
    <w:p>
      <w:pPr>
        <w:pStyle w:val="FirstParagraph"/>
      </w:pPr>
      <w:r>
        <w:t xml:space="preserve">The AFS will review the materials submitted and interview the</w:t>
      </w:r>
      <w:r>
        <w:t xml:space="preserve"> </w:t>
      </w:r>
      <w:r>
        <w:t xml:space="preserve">complainant in order to determine if the case has merit in that: 1)</w:t>
      </w:r>
      <w:r>
        <w:t xml:space="preserve"> </w:t>
      </w:r>
      <w:r>
        <w:t xml:space="preserve">the complaint pertains to academic freedom, 2) the impact of the</w:t>
      </w:r>
      <w:r>
        <w:t xml:space="preserve"> </w:t>
      </w:r>
      <w:r>
        <w:t xml:space="preserve">alleged violation may be serious. If the AFS decides the case does</w:t>
      </w:r>
      <w:r>
        <w:t xml:space="preserve"> </w:t>
      </w:r>
      <w:r>
        <w:t xml:space="preserve">not have merit, the complainant will be informed by the AFS Chair in</w:t>
      </w:r>
      <w:r>
        <w:t xml:space="preserve"> </w:t>
      </w:r>
      <w:r>
        <w:t xml:space="preserve">writing of the decision, the case will be closed, and no further</w:t>
      </w:r>
      <w:r>
        <w:t xml:space="preserve"> </w:t>
      </w:r>
      <w:r>
        <w:t xml:space="preserve">action will be required by CTAF.</w:t>
      </w:r>
    </w:p>
    <w:p>
      <w:pPr>
        <w:pStyle w:val="BodyText"/>
      </w:pPr>
      <w:r>
        <w:t xml:space="preserve">If the AFS decides the case may have merit, the AFS will provide an</w:t>
      </w:r>
      <w:r>
        <w:t xml:space="preserve"> </w:t>
      </w:r>
      <w:r>
        <w:t xml:space="preserve">option for the complainant to pursue an informal resolution through</w:t>
      </w:r>
      <w:r>
        <w:t xml:space="preserve"> </w:t>
      </w:r>
      <w:r>
        <w:t xml:space="preserve">mediation between the complainant and any individual(s) identified as</w:t>
      </w:r>
      <w:r>
        <w:t xml:space="preserve"> </w:t>
      </w:r>
      <w:r>
        <w:t xml:space="preserve">being potentially responsible for the alleged violation. Only if the</w:t>
      </w:r>
      <w:r>
        <w:t xml:space="preserve"> </w:t>
      </w:r>
      <w:r>
        <w:t xml:space="preserve">complainant agrees, is/are these identified individual(s) notified of</w:t>
      </w:r>
      <w:r>
        <w:t xml:space="preserve"> </w:t>
      </w:r>
      <w:r>
        <w:t xml:space="preserve">the complaint and invited to participate in the mediation process.</w:t>
      </w:r>
      <w:r>
        <w:t xml:space="preserve"> </w:t>
      </w:r>
      <w:r>
        <w:t xml:space="preserve">Because mediation is voluntary, all individuals must agree to</w:t>
      </w:r>
      <w:r>
        <w:t xml:space="preserve"> </w:t>
      </w:r>
      <w:r>
        <w:t xml:space="preserve">participate for mediation to occur with the expectation that an</w:t>
      </w:r>
      <w:r>
        <w:t xml:space="preserve"> </w:t>
      </w:r>
      <w:r>
        <w:t xml:space="preserve">informal resolution will be practical to implement.</w:t>
      </w:r>
    </w:p>
    <w:p>
      <w:pPr>
        <w:pStyle w:val="BodyText"/>
      </w:pPr>
      <w:r>
        <w:t xml:space="preserve">Mediation is a voluntary, confidential process through which a neutral</w:t>
      </w:r>
      <w:r>
        <w:t xml:space="preserve"> </w:t>
      </w:r>
      <w:r>
        <w:t xml:space="preserve">mediator assists the complainant with expressing their concerns and</w:t>
      </w:r>
      <w:r>
        <w:t xml:space="preserve"> </w:t>
      </w:r>
      <w:r>
        <w:t xml:space="preserve">helps all parties in developing solutions to the dispute in a safe and</w:t>
      </w:r>
      <w:r>
        <w:t xml:space="preserve"> </w:t>
      </w:r>
      <w:r>
        <w:t xml:space="preserve">structured environment. The Secretary of the Faculty shall serve as</w:t>
      </w:r>
      <w:r>
        <w:t xml:space="preserve"> </w:t>
      </w:r>
      <w:r>
        <w:t xml:space="preserve">the mediator or appoint an appropriate mediator (in consultation with</w:t>
      </w:r>
      <w:r>
        <w:t xml:space="preserve"> </w:t>
      </w:r>
      <w:r>
        <w:t xml:space="preserve">the AFS Chair). The mediator shall be acceptable to the complainant</w:t>
      </w:r>
      <w:r>
        <w:t xml:space="preserve"> </w:t>
      </w:r>
      <w:r>
        <w:t xml:space="preserve">and all individuals. Mediators do not make judgments, determine</w:t>
      </w:r>
      <w:r>
        <w:t xml:space="preserve"> </w:t>
      </w:r>
      <w:r>
        <w:t xml:space="preserve">facts, or mandate resolutions; instead, they facilitate an appropriate</w:t>
      </w:r>
      <w:r>
        <w:t xml:space="preserve"> </w:t>
      </w:r>
      <w:r>
        <w:t xml:space="preserve">exchange between the participants, who identify the solutions best</w:t>
      </w:r>
      <w:r>
        <w:t xml:space="preserve"> </w:t>
      </w:r>
      <w:r>
        <w:t xml:space="preserve">suited to their situation. Mediators do not engage in evaluation of</w:t>
      </w:r>
      <w:r>
        <w:t xml:space="preserve"> </w:t>
      </w:r>
      <w:r>
        <w:t xml:space="preserve">decisions.</w:t>
      </w:r>
    </w:p>
    <w:p>
      <w:pPr>
        <w:pStyle w:val="BodyText"/>
      </w:pPr>
      <w:r>
        <w:t xml:space="preserve">If the individuals come to an informal resolution of the dispute</w:t>
      </w:r>
      <w:r>
        <w:t xml:space="preserve"> </w:t>
      </w:r>
      <w:r>
        <w:t xml:space="preserve">through mediation, the mediator produces a document with details of</w:t>
      </w:r>
      <w:r>
        <w:t xml:space="preserve"> </w:t>
      </w:r>
      <w:r>
        <w:t xml:space="preserve">the mediation process and the agreed-upon resolution. No agreement</w:t>
      </w:r>
      <w:r>
        <w:t xml:space="preserve"> </w:t>
      </w:r>
      <w:r>
        <w:t xml:space="preserve">from the mediation process is reached unless and until it is</w:t>
      </w:r>
      <w:r>
        <w:t xml:space="preserve"> </w:t>
      </w:r>
      <w:r>
        <w:t xml:space="preserve">acceptable to all individuals. The mediator, in consultation with the</w:t>
      </w:r>
      <w:r>
        <w:t xml:space="preserve"> </w:t>
      </w:r>
      <w:r>
        <w:t xml:space="preserve">AFS Chair if necessary, decides whether the Provost needs to approve</w:t>
      </w:r>
      <w:r>
        <w:t xml:space="preserve"> </w:t>
      </w:r>
      <w:r>
        <w:t xml:space="preserve">the mediated resolution. Only if the Provost determines that the</w:t>
      </w:r>
      <w:r>
        <w:t xml:space="preserve"> </w:t>
      </w:r>
      <w:r>
        <w:t xml:space="preserve">mediated resolution is administratively infeasible, then the mediator</w:t>
      </w:r>
      <w:r>
        <w:t xml:space="preserve"> </w:t>
      </w:r>
      <w:r>
        <w:t xml:space="preserve">and the Provost and the complainant and other individuals shall</w:t>
      </w:r>
      <w:r>
        <w:t xml:space="preserve"> </w:t>
      </w:r>
      <w:r>
        <w:t xml:space="preserve">jointly devise an agreeable alternative resolution. The final,</w:t>
      </w:r>
      <w:r>
        <w:t xml:space="preserve"> </w:t>
      </w:r>
      <w:r>
        <w:t xml:space="preserve">agreed-upon document is signed by the mediator and all individuals.</w:t>
      </w:r>
      <w:r>
        <w:t xml:space="preserve"> </w:t>
      </w:r>
      <w:r>
        <w:t xml:space="preserve">The fact that a mediated resolution was agreed upon is conveyed to</w:t>
      </w:r>
      <w:r>
        <w:t xml:space="preserve"> </w:t>
      </w:r>
      <w:r>
        <w:t xml:space="preserve">CTAF in writing, but without any other details. The case is closed,</w:t>
      </w:r>
      <w:r>
        <w:t xml:space="preserve"> </w:t>
      </w:r>
      <w:r>
        <w:t xml:space="preserve">and no further action is required by CTAF. The individuals in the</w:t>
      </w:r>
      <w:r>
        <w:t xml:space="preserve"> </w:t>
      </w:r>
      <w:r>
        <w:t xml:space="preserve">dispute are responsible to each other for ensuring that the provisions</w:t>
      </w:r>
      <w:r>
        <w:t xml:space="preserve"> </w:t>
      </w:r>
      <w:r>
        <w:t xml:space="preserve">of the agreement are followed.</w:t>
      </w:r>
    </w:p>
    <w:p>
      <w:pPr>
        <w:pStyle w:val="Heading5"/>
      </w:pPr>
      <w:bookmarkStart w:id="32" w:name="chapter-5-section-1bi6"/>
      <w:r>
        <w:t xml:space="preserve">6. Proceeding in the Absence of a Mediated Resolution</w:t>
      </w:r>
      <w:bookmarkEnd w:id="32"/>
    </w:p>
    <w:p>
      <w:pPr>
        <w:pStyle w:val="FirstParagraph"/>
      </w:pPr>
      <w:r>
        <w:t xml:space="preserve">In the event that the individuals do not agree to mediation or are not</w:t>
      </w:r>
      <w:r>
        <w:t xml:space="preserve"> </w:t>
      </w:r>
      <w:r>
        <w:t xml:space="preserve">able to reach a mutual resolution to the dispute through mediation,</w:t>
      </w:r>
      <w:r>
        <w:t xml:space="preserve"> </w:t>
      </w:r>
      <w:r>
        <w:t xml:space="preserve">the AFS will, at the request of the complainant, proceed with the</w:t>
      </w:r>
      <w:r>
        <w:t xml:space="preserve"> </w:t>
      </w:r>
      <w:r>
        <w:t xml:space="preserve">Investigation Phase (</w:t>
      </w:r>
      <w:hyperlink r:id="rId33">
        <w:r>
          <w:rPr>
            <w:rStyle w:val="Hyperlink"/>
          </w:rPr>
          <w:t xml:space="preserve">Section b.ii</w:t>
        </w:r>
      </w:hyperlink>
      <w:r>
        <w:t xml:space="preserve">).</w:t>
      </w:r>
    </w:p>
    <w:p>
      <w:pPr>
        <w:pStyle w:val="Heading4"/>
      </w:pPr>
      <w:bookmarkStart w:id="34" w:name="chapter-5-section-1bii"/>
      <w:r>
        <w:t xml:space="preserve">ii. Investigation Phase</w:t>
      </w:r>
      <w:bookmarkEnd w:id="34"/>
    </w:p>
    <w:p>
      <w:pPr>
        <w:pStyle w:val="Heading5"/>
      </w:pPr>
      <w:bookmarkStart w:id="35" w:name="review-of-submitted-materials"/>
      <w:r>
        <w:t xml:space="preserve">1. Review of Submitted Materials</w:t>
      </w:r>
      <w:bookmarkEnd w:id="35"/>
    </w:p>
    <w:p>
      <w:pPr>
        <w:pStyle w:val="FirstParagraph"/>
      </w:pPr>
      <w:r>
        <w:t xml:space="preserve">The AFS shall evaluate the complainant's submitted materials</w:t>
      </w:r>
      <w:r>
        <w:t xml:space="preserve"> </w:t>
      </w:r>
      <w:r>
        <w:t xml:space="preserve">(described in</w:t>
      </w:r>
      <w:r>
        <w:t xml:space="preserve"> </w:t>
      </w:r>
      <w:hyperlink r:id="rId27">
        <w:r>
          <w:rPr>
            <w:rStyle w:val="Hyperlink"/>
          </w:rPr>
          <w:t xml:space="preserve">Section b.i.2</w:t>
        </w:r>
      </w:hyperlink>
      <w:r>
        <w:t xml:space="preserve">)</w:t>
      </w:r>
      <w:r>
        <w:t xml:space="preserve"> </w:t>
      </w:r>
      <w:r>
        <w:t xml:space="preserve">and interview the complainant. The complainant may ask for an advisor</w:t>
      </w:r>
      <w:r>
        <w:t xml:space="preserve"> </w:t>
      </w:r>
      <w:r>
        <w:t xml:space="preserve">of their choice to be present during the interview and advisors are</w:t>
      </w:r>
      <w:r>
        <w:t xml:space="preserve"> </w:t>
      </w:r>
      <w:r>
        <w:t xml:space="preserve">subject to the same confidentiality obligations applied to others in</w:t>
      </w:r>
      <w:r>
        <w:t xml:space="preserve"> </w:t>
      </w:r>
      <w:r>
        <w:t xml:space="preserve">this process. The AFS may choose to interview some or all of the</w:t>
      </w:r>
      <w:r>
        <w:t xml:space="preserve"> </w:t>
      </w:r>
      <w:r>
        <w:t xml:space="preserve">individuals identified by the complainant in the original materials.</w:t>
      </w:r>
    </w:p>
    <w:p>
      <w:pPr>
        <w:pStyle w:val="Heading5"/>
      </w:pPr>
      <w:bookmarkStart w:id="36" w:name="Xd72db7ce2d7582c0917ed7d1e3ab4902a722e55"/>
      <w:r>
        <w:t xml:space="preserve">2. Possible Request for and Review of Additional Materials</w:t>
      </w:r>
      <w:bookmarkEnd w:id="36"/>
    </w:p>
    <w:p>
      <w:pPr>
        <w:pStyle w:val="FirstParagraph"/>
      </w:pPr>
      <w:r>
        <w:t xml:space="preserve">The AFS may also request additional materials, including emails,</w:t>
      </w:r>
      <w:r>
        <w:t xml:space="preserve"> </w:t>
      </w:r>
      <w:r>
        <w:t xml:space="preserve">annual reviews, or other documents from the complainant if such</w:t>
      </w:r>
      <w:r>
        <w:t xml:space="preserve"> </w:t>
      </w:r>
      <w:r>
        <w:t xml:space="preserve">materials are necessary to verify the facts.</w:t>
      </w:r>
    </w:p>
    <w:p>
      <w:pPr>
        <w:pStyle w:val="BodyText"/>
      </w:pPr>
      <w:r>
        <w:t xml:space="preserve">If at any point in the investigation the AFS decides that additional</w:t>
      </w:r>
      <w:r>
        <w:t xml:space="preserve"> </w:t>
      </w:r>
      <w:r>
        <w:t xml:space="preserve">interviews and/or additional information from other individuals not</w:t>
      </w:r>
      <w:r>
        <w:t xml:space="preserve"> </w:t>
      </w:r>
      <w:r>
        <w:t xml:space="preserve">initially provided by the complainant</w:t>
      </w:r>
      <w:r>
        <w:t xml:space="preserve"> </w:t>
      </w:r>
      <w:r>
        <w:rPr>
          <w:b/>
        </w:rPr>
        <w:t xml:space="preserve">are necessary</w:t>
      </w:r>
      <w:r>
        <w:t xml:space="preserve"> </w:t>
      </w:r>
      <w:r>
        <w:t xml:space="preserve">to come to a</w:t>
      </w:r>
      <w:r>
        <w:t xml:space="preserve"> </w:t>
      </w:r>
      <w:r>
        <w:t xml:space="preserve">determination (see</w:t>
      </w:r>
      <w:r>
        <w:t xml:space="preserve"> </w:t>
      </w:r>
      <w:hyperlink r:id="rId37">
        <w:r>
          <w:rPr>
            <w:rStyle w:val="Hyperlink"/>
          </w:rPr>
          <w:t xml:space="preserve">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b.iii.1</w:t>
        </w:r>
      </w:hyperlink>
      <w:r>
        <w:t xml:space="preserve">), the AFS will provide</w:t>
      </w:r>
      <w:r>
        <w:t xml:space="preserve"> </w:t>
      </w:r>
      <w:r>
        <w:t xml:space="preserve">the complainant with a list of the additional individuals and</w:t>
      </w:r>
      <w:r>
        <w:t xml:space="preserve"> </w:t>
      </w:r>
      <w:r>
        <w:t xml:space="preserve">information that are necessary. The AFS cannot contact any individuals</w:t>
      </w:r>
      <w:r>
        <w:t xml:space="preserve"> </w:t>
      </w:r>
      <w:r>
        <w:t xml:space="preserve">without the written approval of the complainant during this stage of</w:t>
      </w:r>
      <w:r>
        <w:t xml:space="preserve"> </w:t>
      </w:r>
      <w:r>
        <w:t xml:space="preserve">the investigation.</w:t>
      </w:r>
    </w:p>
    <w:p>
      <w:pPr>
        <w:pStyle w:val="BodyText"/>
      </w:pPr>
      <w:r>
        <w:t xml:space="preserve">If the complainant is not willing to expand the scope of the</w:t>
      </w:r>
      <w:r>
        <w:t xml:space="preserve"> </w:t>
      </w:r>
      <w:r>
        <w:t xml:space="preserve">investigation in this manner, then the AFS will proceed to the</w:t>
      </w:r>
      <w:r>
        <w:t xml:space="preserve"> </w:t>
      </w:r>
      <w:r>
        <w:t xml:space="preserve">preliminary finding part of the decision phase (</w:t>
      </w:r>
      <w:hyperlink r:id="rId37">
        <w:r>
          <w:rPr>
            <w:rStyle w:val="Hyperlink"/>
          </w:rPr>
          <w:t xml:space="preserve">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b.iii.1</w:t>
        </w:r>
      </w:hyperlink>
      <w:r>
        <w:t xml:space="preserve">) and make a decision</w:t>
      </w:r>
      <w:r>
        <w:t xml:space="preserve"> </w:t>
      </w:r>
      <w:r>
        <w:t xml:space="preserve">that the available evidence in the case does not establish that an</w:t>
      </w:r>
      <w:r>
        <w:t xml:space="preserve"> </w:t>
      </w:r>
      <w:r>
        <w:t xml:space="preserve">academic freedom violation occurred (</w:t>
      </w:r>
      <w:hyperlink r:id="rId37">
        <w:r>
          <w:rPr>
            <w:rStyle w:val="Hyperlink"/>
          </w:rPr>
          <w:t xml:space="preserve">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b.iii.1</w:t>
        </w:r>
      </w:hyperlink>
      <w:r>
        <w:t xml:space="preserve">, c.</w:t>
      </w:r>
      <w:r>
        <w:t xml:space="preserve"> </w:t>
      </w:r>
      <w:r>
        <w:rPr>
          <w:i/>
        </w:rPr>
        <w:t xml:space="preserve">Not Enough</w:t>
      </w:r>
      <w:r>
        <w:rPr>
          <w:i/>
        </w:rPr>
        <w:t xml:space="preserve"> </w:t>
      </w:r>
      <w:r>
        <w:rPr>
          <w:i/>
        </w:rPr>
        <w:t xml:space="preserve">Evidence</w:t>
      </w:r>
      <w:r>
        <w:t xml:space="preserve">).</w:t>
      </w:r>
    </w:p>
    <w:p>
      <w:pPr>
        <w:pStyle w:val="BodyText"/>
      </w:pPr>
      <w:r>
        <w:t xml:space="preserve">If the complainant is willing to expand the scope of the</w:t>
      </w:r>
      <w:r>
        <w:t xml:space="preserve"> </w:t>
      </w:r>
      <w:r>
        <w:t xml:space="preserve">investigation, the AFS conducts additional interviews, reviews the</w:t>
      </w:r>
      <w:r>
        <w:t xml:space="preserve"> </w:t>
      </w:r>
      <w:r>
        <w:t xml:space="preserve">additional information requested, and continues to evaluate the full</w:t>
      </w:r>
      <w:r>
        <w:t xml:space="preserve"> </w:t>
      </w:r>
      <w:r>
        <w:t xml:space="preserve">body of evidence. At all times, all individuals shall cooperate with</w:t>
      </w:r>
      <w:r>
        <w:t xml:space="preserve"> </w:t>
      </w:r>
      <w:r>
        <w:t xml:space="preserve">the process, preserve (and not delete or destroy) evidence, and</w:t>
      </w:r>
      <w:r>
        <w:t xml:space="preserve"> </w:t>
      </w:r>
      <w:r>
        <w:t xml:space="preserve">provide information and materials as requested.</w:t>
      </w:r>
    </w:p>
    <w:p>
      <w:pPr>
        <w:pStyle w:val="Heading5"/>
      </w:pPr>
      <w:bookmarkStart w:id="38" w:name="confidentiality"/>
      <w:r>
        <w:t xml:space="preserve">3. Confidentiality</w:t>
      </w:r>
      <w:bookmarkEnd w:id="38"/>
    </w:p>
    <w:p>
      <w:pPr>
        <w:pStyle w:val="FirstParagraph"/>
      </w:pPr>
      <w:r>
        <w:t xml:space="preserve">The existence of the case must remain confidential to anyone outside</w:t>
      </w:r>
      <w:r>
        <w:t xml:space="preserve"> </w:t>
      </w:r>
      <w:r>
        <w:t xml:space="preserve">the AFS and individuals being interviewed. Case materials must not be</w:t>
      </w:r>
      <w:r>
        <w:t xml:space="preserve"> </w:t>
      </w:r>
      <w:r>
        <w:t xml:space="preserve">shared with any interviewees. Case materials are shared only among</w:t>
      </w:r>
      <w:r>
        <w:t xml:space="preserve"> </w:t>
      </w:r>
      <w:r>
        <w:t xml:space="preserve">members of the AFS.</w:t>
      </w:r>
    </w:p>
    <w:p>
      <w:pPr>
        <w:pStyle w:val="Heading5"/>
      </w:pPr>
      <w:bookmarkStart w:id="39" w:name="Xcb0d39c5010f5572824919c61ed8475f9c5d406"/>
      <w:r>
        <w:t xml:space="preserve">4. Option to Request Mediation and Informal Resolution</w:t>
      </w:r>
      <w:bookmarkEnd w:id="39"/>
    </w:p>
    <w:p>
      <w:pPr>
        <w:pStyle w:val="FirstParagraph"/>
      </w:pPr>
      <w:r>
        <w:t xml:space="preserve">The complainant has the option to request an informal resolution at</w:t>
      </w:r>
      <w:r>
        <w:t xml:space="preserve"> </w:t>
      </w:r>
      <w:r>
        <w:t xml:space="preserve">any time during the investigation phase, following the process defined</w:t>
      </w:r>
      <w:r>
        <w:t xml:space="preserve"> </w:t>
      </w:r>
      <w:r>
        <w:t xml:space="preserve">in</w:t>
      </w:r>
      <w:r>
        <w:t xml:space="preserve"> </w:t>
      </w:r>
      <w:hyperlink r:id="rId40">
        <w:r>
          <w:rPr>
            <w:rStyle w:val="Hyperlink"/>
          </w:rPr>
          <w:t xml:space="preserve">Section b.i.5</w:t>
        </w:r>
      </w:hyperlink>
      <w:r>
        <w:t xml:space="preserve">.</w:t>
      </w:r>
    </w:p>
    <w:p>
      <w:pPr>
        <w:pStyle w:val="Heading5"/>
      </w:pPr>
      <w:bookmarkStart w:id="41" w:name="option-to-withdraw-the-complaint"/>
      <w:r>
        <w:t xml:space="preserve">5. Option to Withdraw the Complaint</w:t>
      </w:r>
      <w:bookmarkEnd w:id="41"/>
    </w:p>
    <w:p>
      <w:pPr>
        <w:pStyle w:val="FirstParagraph"/>
      </w:pPr>
      <w:r>
        <w:t xml:space="preserve">The complainant has the option to withdraw their complaint at any time</w:t>
      </w:r>
      <w:r>
        <w:t xml:space="preserve"> </w:t>
      </w:r>
      <w:r>
        <w:t xml:space="preserve">during the investigation phase. Should the complainant request to</w:t>
      </w:r>
      <w:r>
        <w:t xml:space="preserve"> </w:t>
      </w:r>
      <w:r>
        <w:t xml:space="preserve">withdraw the case, the AFS will issue no finding and the complainant's</w:t>
      </w:r>
      <w:r>
        <w:t xml:space="preserve"> </w:t>
      </w:r>
      <w:r>
        <w:t xml:space="preserve">case will remain confidential. The case is closed and no further CTAF</w:t>
      </w:r>
      <w:r>
        <w:t xml:space="preserve"> </w:t>
      </w:r>
      <w:r>
        <w:t xml:space="preserve">action is required.</w:t>
      </w:r>
    </w:p>
    <w:p>
      <w:pPr>
        <w:pStyle w:val="Heading5"/>
      </w:pPr>
      <w:bookmarkStart w:id="42" w:name="sufficient-evidence"/>
      <w:r>
        <w:t xml:space="preserve">6. Sufficient Evidence</w:t>
      </w:r>
      <w:bookmarkEnd w:id="42"/>
    </w:p>
    <w:p>
      <w:pPr>
        <w:pStyle w:val="FirstParagraph"/>
      </w:pPr>
      <w:r>
        <w:t xml:space="preserve">Once the AFS has all available evidence or has enough evidence to</w:t>
      </w:r>
      <w:r>
        <w:t xml:space="preserve"> </w:t>
      </w:r>
      <w:r>
        <w:t xml:space="preserve">reach a preliminary finding, the process enters the decision phase.</w:t>
      </w:r>
    </w:p>
    <w:p>
      <w:pPr>
        <w:pStyle w:val="Heading4"/>
      </w:pPr>
      <w:bookmarkStart w:id="43" w:name="iii.-decision-phase"/>
      <w:r>
        <w:t xml:space="preserve">iii. Decision Phase</w:t>
      </w:r>
      <w:bookmarkEnd w:id="43"/>
    </w:p>
    <w:p>
      <w:pPr>
        <w:pStyle w:val="Heading5"/>
      </w:pPr>
      <w:bookmarkStart w:id="44" w:name="chapter-5-section-1biii1"/>
      <w:r>
        <w:t xml:space="preserve">1. Preliminary Finding</w:t>
      </w:r>
      <w:bookmarkEnd w:id="44"/>
    </w:p>
    <w:p>
      <w:pPr>
        <w:pStyle w:val="FirstParagraph"/>
      </w:pPr>
      <w:r>
        <w:t xml:space="preserve">Based on all the evidence obtained in the order and manner described</w:t>
      </w:r>
      <w:r>
        <w:t xml:space="preserve"> </w:t>
      </w:r>
      <w:r>
        <w:t xml:space="preserve">in</w:t>
      </w:r>
      <w:r>
        <w:t xml:space="preserve"> </w:t>
      </w:r>
      <w:hyperlink r:id="rId27">
        <w:r>
          <w:rPr>
            <w:rStyle w:val="Hyperlink"/>
          </w:rPr>
          <w:t xml:space="preserve">Section b.i.2</w:t>
        </w:r>
      </w:hyperlink>
      <w:r>
        <w:t xml:space="preserve"> </w:t>
      </w:r>
      <w:r>
        <w:t xml:space="preserve">and</w:t>
      </w:r>
      <w:r>
        <w:t xml:space="preserve"> </w:t>
      </w:r>
      <w:hyperlink r:id="rId33">
        <w:r>
          <w:rPr>
            <w:rStyle w:val="Hyperlink"/>
          </w:rPr>
          <w:t xml:space="preserve">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b.ii</w:t>
        </w:r>
      </w:hyperlink>
      <w:r>
        <w:t xml:space="preserve">, the AFS deliberates and</w:t>
      </w:r>
      <w:r>
        <w:t xml:space="preserve"> </w:t>
      </w:r>
      <w:r>
        <w:t xml:space="preserve">reaches a preliminary finding by majority vote regarding the academic</w:t>
      </w:r>
      <w:r>
        <w:t xml:space="preserve"> </w:t>
      </w:r>
      <w:r>
        <w:t xml:space="preserve">freedom violation. The first vote is whether or not academic freedom</w:t>
      </w:r>
      <w:r>
        <w:t xml:space="preserve"> </w:t>
      </w:r>
      <w:r>
        <w:t xml:space="preserve">was likely violated (preliminary finding "a" below). If not, the</w:t>
      </w:r>
      <w:r>
        <w:t xml:space="preserve"> </w:t>
      </w:r>
      <w:r>
        <w:t xml:space="preserve">second vote is whether academic freedom has not been violated</w:t>
      </w:r>
      <w:r>
        <w:t xml:space="preserve"> </w:t>
      </w:r>
      <w:r>
        <w:t xml:space="preserve">(preliminary finding "b" below). Otherwise, there is not enough</w:t>
      </w:r>
      <w:r>
        <w:t xml:space="preserve"> </w:t>
      </w:r>
      <w:r>
        <w:t xml:space="preserve">evidence to make a determination (preliminary finding "c" below). The</w:t>
      </w:r>
      <w:r>
        <w:t xml:space="preserve"> </w:t>
      </w:r>
      <w:r>
        <w:t xml:space="preserve">committee reaches one of the three possible outcomes regarding the</w:t>
      </w:r>
      <w:r>
        <w:t xml:space="preserve"> </w:t>
      </w:r>
      <w:r>
        <w:t xml:space="preserve">complainant's academic freedom:</w:t>
      </w:r>
    </w:p>
    <w:p>
      <w:pPr>
        <w:numPr>
          <w:ilvl w:val="0"/>
          <w:numId w:val="1002"/>
        </w:numPr>
      </w:pPr>
      <w:r>
        <w:rPr>
          <w:i/>
        </w:rPr>
        <w:t xml:space="preserve">Likely Was Violated:</w:t>
      </w:r>
      <w:r>
        <w:t xml:space="preserve"> </w:t>
      </w:r>
      <w:r>
        <w:t xml:space="preserve">If the initial finding is that academic</w:t>
      </w:r>
      <w:r>
        <w:t xml:space="preserve"> </w:t>
      </w:r>
      <w:r>
        <w:t xml:space="preserve">freedom likely was violated, the complainant will be informed by the</w:t>
      </w:r>
      <w:r>
        <w:t xml:space="preserve"> </w:t>
      </w:r>
      <w:r>
        <w:t xml:space="preserve">AFS Chair in writing of additional relevant individuals (as determined</w:t>
      </w:r>
      <w:r>
        <w:t xml:space="preserve"> </w:t>
      </w:r>
      <w:r>
        <w:t xml:space="preserve">by the AFS) that need to be interviewed or additional information that</w:t>
      </w:r>
      <w:r>
        <w:t xml:space="preserve"> </w:t>
      </w:r>
      <w:r>
        <w:t xml:space="preserve">needs to be confirmed. Some relevant individuals may not yet have been</w:t>
      </w:r>
      <w:r>
        <w:t xml:space="preserve"> </w:t>
      </w:r>
      <w:r>
        <w:t xml:space="preserve">interviewed in order to protect the complainant. The complainant will</w:t>
      </w:r>
      <w:r>
        <w:t xml:space="preserve"> </w:t>
      </w:r>
      <w:r>
        <w:t xml:space="preserve">have one calendar week to decide whether to withdraw the case or</w:t>
      </w:r>
      <w:r>
        <w:t xml:space="preserve"> </w:t>
      </w:r>
      <w:r>
        <w:t xml:space="preserve">proceed and will inform the AFS Chair in writing of their decision:</w:t>
      </w:r>
    </w:p>
    <w:p>
      <w:pPr>
        <w:numPr>
          <w:ilvl w:val="1"/>
          <w:numId w:val="1003"/>
        </w:numPr>
      </w:pPr>
      <w:r>
        <w:t xml:space="preserve">Withdraw and Request Mediation and Informal Resolution: The</w:t>
      </w:r>
      <w:r>
        <w:t xml:space="preserve"> </w:t>
      </w:r>
      <w:r>
        <w:t xml:space="preserve">complainant can decide to withdraw the case and request an</w:t>
      </w:r>
      <w:r>
        <w:t xml:space="preserve"> </w:t>
      </w:r>
      <w:r>
        <w:t xml:space="preserve">informal resolution, following the process in</w:t>
      </w:r>
      <w:r>
        <w:t xml:space="preserve"> </w:t>
      </w:r>
      <w:hyperlink r:id="rId40">
        <w:r>
          <w:rPr>
            <w:rStyle w:val="Hyperlink"/>
          </w:rPr>
          <w:t xml:space="preserve">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b.i.5</w:t>
        </w:r>
      </w:hyperlink>
      <w:r>
        <w:t xml:space="preserve">.</w:t>
      </w:r>
    </w:p>
    <w:p>
      <w:pPr>
        <w:numPr>
          <w:ilvl w:val="1"/>
          <w:numId w:val="1003"/>
        </w:numPr>
      </w:pPr>
      <w:r>
        <w:t xml:space="preserve">Withdraw the Case: The complainant can decide to withdraw the</w:t>
      </w:r>
      <w:r>
        <w:t xml:space="preserve"> </w:t>
      </w:r>
      <w:r>
        <w:t xml:space="preserve">case, and the case will be closed and will remain confidential; no</w:t>
      </w:r>
      <w:r>
        <w:t xml:space="preserve"> </w:t>
      </w:r>
      <w:r>
        <w:t xml:space="preserve">further CTAF action will be taken.</w:t>
      </w:r>
    </w:p>
    <w:p>
      <w:pPr>
        <w:numPr>
          <w:ilvl w:val="1"/>
          <w:numId w:val="1003"/>
        </w:numPr>
      </w:pPr>
      <w:r>
        <w:t xml:space="preserve">Proceed: If the complainant wishes to proceed, the case cannot be</w:t>
      </w:r>
      <w:r>
        <w:t xml:space="preserve"> </w:t>
      </w:r>
      <w:r>
        <w:t xml:space="preserve">withdrawn after this point.</w:t>
      </w:r>
    </w:p>
    <w:p>
      <w:pPr>
        <w:numPr>
          <w:ilvl w:val="0"/>
          <w:numId w:val="1002"/>
        </w:numPr>
      </w:pPr>
      <w:r>
        <w:rPr>
          <w:i/>
        </w:rPr>
        <w:t xml:space="preserve">Has Not Been Violated:</w:t>
      </w:r>
      <w:r>
        <w:t xml:space="preserve"> </w:t>
      </w:r>
      <w:r>
        <w:t xml:space="preserve">If the initial finding is that academic</w:t>
      </w:r>
      <w:r>
        <w:t xml:space="preserve"> </w:t>
      </w:r>
      <w:r>
        <w:t xml:space="preserve">freedom has not been violated, the complainant will be informed by the</w:t>
      </w:r>
      <w:r>
        <w:t xml:space="preserve"> </w:t>
      </w:r>
      <w:r>
        <w:t xml:space="preserve">AFS Chair in writing of the decision and the rationale for the</w:t>
      </w:r>
      <w:r>
        <w:t xml:space="preserve"> </w:t>
      </w:r>
      <w:r>
        <w:t xml:space="preserve">decision. The case is closed and will remain confidential, no</w:t>
      </w:r>
      <w:r>
        <w:t xml:space="preserve"> </w:t>
      </w:r>
      <w:r>
        <w:t xml:space="preserve">additional reports will be filed, and this academic freedom case shall</w:t>
      </w:r>
      <w:r>
        <w:t xml:space="preserve"> </w:t>
      </w:r>
      <w:r>
        <w:t xml:space="preserve">not be resubmitted in the future. The outcome is conveyed to all</w:t>
      </w:r>
      <w:r>
        <w:t xml:space="preserve"> </w:t>
      </w:r>
      <w:r>
        <w:t xml:space="preserve">relevant interviewed individuals by the AFS Chair. No further CTAF</w:t>
      </w:r>
      <w:r>
        <w:t xml:space="preserve"> </w:t>
      </w:r>
      <w:r>
        <w:t xml:space="preserve">action will be taken.</w:t>
      </w:r>
    </w:p>
    <w:p>
      <w:pPr>
        <w:numPr>
          <w:ilvl w:val="0"/>
          <w:numId w:val="1002"/>
        </w:numPr>
      </w:pPr>
      <w:r>
        <w:rPr>
          <w:i/>
        </w:rPr>
        <w:t xml:space="preserve">Not Enough Evidence:</w:t>
      </w:r>
      <w:r>
        <w:t xml:space="preserve"> </w:t>
      </w:r>
      <w:r>
        <w:t xml:space="preserve">If the initial finding is that there is not</w:t>
      </w:r>
      <w:r>
        <w:t xml:space="preserve"> </w:t>
      </w:r>
      <w:r>
        <w:t xml:space="preserve">enough evidence to confirm the faculty member's academic freedom has</w:t>
      </w:r>
      <w:r>
        <w:t xml:space="preserve"> </w:t>
      </w:r>
      <w:r>
        <w:t xml:space="preserve">been violated, the complainant will be informed by the AFS Chair in</w:t>
      </w:r>
      <w:r>
        <w:t xml:space="preserve"> </w:t>
      </w:r>
      <w:r>
        <w:t xml:space="preserve">writing and the case will be closed and will remain confidential.</w:t>
      </w:r>
      <w:r>
        <w:t xml:space="preserve"> </w:t>
      </w:r>
      <w:r>
        <w:t xml:space="preserve">This academic freedom case can only be resubmitted with new evidence</w:t>
      </w:r>
      <w:r>
        <w:t xml:space="preserve"> </w:t>
      </w:r>
      <w:r>
        <w:t xml:space="preserve">of the alleged academic freedom violation that did not exist during</w:t>
      </w:r>
      <w:r>
        <w:t xml:space="preserve"> </w:t>
      </w:r>
      <w:r>
        <w:t xml:space="preserve">the initial investigation. The outcome is conveyed to all interviewed</w:t>
      </w:r>
      <w:r>
        <w:t xml:space="preserve"> </w:t>
      </w:r>
      <w:r>
        <w:t xml:space="preserve">relevant individuals by the AFS Chair. No further CTAF action will be</w:t>
      </w:r>
      <w:r>
        <w:t xml:space="preserve"> </w:t>
      </w:r>
      <w:r>
        <w:t xml:space="preserve">taken.</w:t>
      </w:r>
    </w:p>
    <w:p>
      <w:pPr>
        <w:pStyle w:val="Heading5"/>
      </w:pPr>
      <w:bookmarkStart w:id="45" w:name="confirmation-of-preliminary-finding"/>
      <w:r>
        <w:t xml:space="preserve">2. Confirmation of Preliminary Finding</w:t>
      </w:r>
      <w:bookmarkEnd w:id="45"/>
    </w:p>
    <w:p>
      <w:pPr>
        <w:pStyle w:val="FirstParagraph"/>
      </w:pPr>
      <w:r>
        <w:t xml:space="preserve">If there are additional relevant individuals (as determined by the</w:t>
      </w:r>
      <w:r>
        <w:t xml:space="preserve"> </w:t>
      </w:r>
      <w:r>
        <w:t xml:space="preserve">AFS, not the complainant) who have not yet been interviewed (e.g., so</w:t>
      </w:r>
      <w:r>
        <w:t xml:space="preserve"> </w:t>
      </w:r>
      <w:r>
        <w:t xml:space="preserve">as to protect the complainant), the AFS will conduct those interviews</w:t>
      </w:r>
      <w:r>
        <w:t xml:space="preserve"> </w:t>
      </w:r>
      <w:r>
        <w:t xml:space="preserve">and review any relevant materials that are identified through those</w:t>
      </w:r>
      <w:r>
        <w:t xml:space="preserve"> </w:t>
      </w:r>
      <w:r>
        <w:t xml:space="preserve">interviews. The purpose of this additional step is intended for the</w:t>
      </w:r>
      <w:r>
        <w:t xml:space="preserve"> </w:t>
      </w:r>
      <w:r>
        <w:t xml:space="preserve">AFS to help establish and confirm that an academic freedom violation</w:t>
      </w:r>
      <w:r>
        <w:t xml:space="preserve"> </w:t>
      </w:r>
      <w:r>
        <w:t xml:space="preserve">occurred or to contradict an earlier finding. The AFS will inform any</w:t>
      </w:r>
      <w:r>
        <w:t xml:space="preserve"> </w:t>
      </w:r>
      <w:r>
        <w:t xml:space="preserve">new interviewees that the existence of the case and all case materials</w:t>
      </w:r>
      <w:r>
        <w:t xml:space="preserve"> </w:t>
      </w:r>
      <w:r>
        <w:t xml:space="preserve">must remain confidential. If any identified relevant individuals</w:t>
      </w:r>
      <w:r>
        <w:t xml:space="preserve"> </w:t>
      </w:r>
      <w:r>
        <w:t xml:space="preserve">choose not to be interviewed by AFS, the process continues to the next</w:t>
      </w:r>
      <w:r>
        <w:t xml:space="preserve"> </w:t>
      </w:r>
      <w:r>
        <w:t xml:space="preserve">step. All relevant individuals will be offered the opportunity to be</w:t>
      </w:r>
      <w:r>
        <w:t xml:space="preserve"> </w:t>
      </w:r>
      <w:r>
        <w:t xml:space="preserve">interviewed and to provide evidence prior to a final decision.</w:t>
      </w:r>
    </w:p>
    <w:p>
      <w:pPr>
        <w:pStyle w:val="Heading5"/>
      </w:pPr>
      <w:bookmarkStart w:id="46" w:name="final-decision"/>
      <w:r>
        <w:t xml:space="preserve">3. Final Decision</w:t>
      </w:r>
      <w:bookmarkEnd w:id="46"/>
    </w:p>
    <w:p>
      <w:pPr>
        <w:pStyle w:val="FirstParagraph"/>
      </w:pPr>
      <w:r>
        <w:t xml:space="preserve">When the AFS has completed interviewing all relevant individuals and</w:t>
      </w:r>
      <w:r>
        <w:t xml:space="preserve"> </w:t>
      </w:r>
      <w:r>
        <w:t xml:space="preserve">reviewing any additional evidence, the AFS takes a final vote and</w:t>
      </w:r>
      <w:r>
        <w:t xml:space="preserve"> </w:t>
      </w:r>
      <w:r>
        <w:t xml:space="preserve">based on a majority vote arrives at either a positive decision that an</w:t>
      </w:r>
      <w:r>
        <w:t xml:space="preserve"> </w:t>
      </w:r>
      <w:r>
        <w:t xml:space="preserve">academic freedom violation occurred, or a negative decision that the</w:t>
      </w:r>
      <w:r>
        <w:t xml:space="preserve"> </w:t>
      </w:r>
      <w:r>
        <w:t xml:space="preserve">evidence in the case does not establish that an academic freedom</w:t>
      </w:r>
      <w:r>
        <w:t xml:space="preserve"> </w:t>
      </w:r>
      <w:r>
        <w:t xml:space="preserve">violation occurred.</w:t>
      </w:r>
    </w:p>
    <w:p>
      <w:pPr>
        <w:numPr>
          <w:ilvl w:val="0"/>
          <w:numId w:val="1004"/>
        </w:numPr>
      </w:pPr>
      <w:r>
        <w:rPr>
          <w:i/>
        </w:rPr>
        <w:t xml:space="preserve">Negative Decision</w:t>
      </w:r>
      <w:r>
        <w:t xml:space="preserve">: If the final vote results in a negative</w:t>
      </w:r>
      <w:r>
        <w:t xml:space="preserve"> </w:t>
      </w:r>
      <w:r>
        <w:t xml:space="preserve">decision that the evidence in the case does not establish that an</w:t>
      </w:r>
      <w:r>
        <w:t xml:space="preserve"> </w:t>
      </w:r>
      <w:r>
        <w:t xml:space="preserve">academic freedom violation occurred, then the complainant will be</w:t>
      </w:r>
      <w:r>
        <w:t xml:space="preserve"> </w:t>
      </w:r>
      <w:r>
        <w:t xml:space="preserve">informed by the AFS Chair in writing of the decision. The case is</w:t>
      </w:r>
      <w:r>
        <w:t xml:space="preserve"> </w:t>
      </w:r>
      <w:r>
        <w:t xml:space="preserve">closed and will remain confidential. The AFS issues a detailed,</w:t>
      </w:r>
      <w:r>
        <w:t xml:space="preserve"> </w:t>
      </w:r>
      <w:r>
        <w:t xml:space="preserve">confidential report providing information on the finding, the</w:t>
      </w:r>
      <w:r>
        <w:t xml:space="preserve"> </w:t>
      </w:r>
      <w:r>
        <w:t xml:space="preserve">procedures followed, the materials considered, and the rationale</w:t>
      </w:r>
      <w:r>
        <w:t xml:space="preserve"> </w:t>
      </w:r>
      <w:r>
        <w:t xml:space="preserve">behind the decision that is shared with the complainant. The outcome</w:t>
      </w:r>
      <w:r>
        <w:t xml:space="preserve"> </w:t>
      </w:r>
      <w:r>
        <w:t xml:space="preserve">is conveyed to all relevant individuals by the AFS Chair. No further</w:t>
      </w:r>
      <w:r>
        <w:t xml:space="preserve"> </w:t>
      </w:r>
      <w:r>
        <w:t xml:space="preserve">CTAF action will be taken.</w:t>
      </w:r>
    </w:p>
    <w:p>
      <w:pPr>
        <w:numPr>
          <w:ilvl w:val="0"/>
          <w:numId w:val="1004"/>
        </w:numPr>
      </w:pPr>
      <w:r>
        <w:rPr>
          <w:i/>
        </w:rPr>
        <w:t xml:space="preserve">Positive Decision</w:t>
      </w:r>
      <w:r>
        <w:t xml:space="preserve">: If the final vote results in a positive</w:t>
      </w:r>
      <w:r>
        <w:t xml:space="preserve"> </w:t>
      </w:r>
      <w:r>
        <w:t xml:space="preserve">decision that an academic freedom violation occurred, then the AFS</w:t>
      </w:r>
      <w:r>
        <w:t xml:space="preserve"> </w:t>
      </w:r>
      <w:r>
        <w:t xml:space="preserve">Chair informs the complainant in writing of the decision, produces a</w:t>
      </w:r>
      <w:r>
        <w:t xml:space="preserve"> </w:t>
      </w:r>
      <w:r>
        <w:t xml:space="preserve">detailed report of the finding, and advances the case to the</w:t>
      </w:r>
      <w:r>
        <w:t xml:space="preserve"> </w:t>
      </w:r>
      <w:r>
        <w:t xml:space="preserve">resolution phase.</w:t>
      </w:r>
    </w:p>
    <w:p>
      <w:pPr>
        <w:pStyle w:val="Heading5"/>
      </w:pPr>
      <w:bookmarkStart w:id="47" w:name="confidentiality-1"/>
      <w:r>
        <w:t xml:space="preserve">4. Confidentiality</w:t>
      </w:r>
      <w:bookmarkEnd w:id="47"/>
    </w:p>
    <w:p>
      <w:pPr>
        <w:pStyle w:val="FirstParagraph"/>
      </w:pPr>
      <w:r>
        <w:t xml:space="preserve">The existence of this academic freedom case - as well as the process</w:t>
      </w:r>
      <w:r>
        <w:t xml:space="preserve"> </w:t>
      </w:r>
      <w:r>
        <w:t xml:space="preserve">followed and the outcome of the final decision - must remain</w:t>
      </w:r>
      <w:r>
        <w:t xml:space="preserve"> </w:t>
      </w:r>
      <w:r>
        <w:t xml:space="preserve">confidential. This applies to the complainant, the members of the</w:t>
      </w:r>
      <w:r>
        <w:t xml:space="preserve"> </w:t>
      </w:r>
      <w:r>
        <w:t xml:space="preserve">AFS, and all those interviewed during the process. Any breach in</w:t>
      </w:r>
      <w:r>
        <w:t xml:space="preserve"> </w:t>
      </w:r>
      <w:r>
        <w:t xml:space="preserve">confidentiality by anyone involved in an alleged case of academic</w:t>
      </w:r>
      <w:r>
        <w:t xml:space="preserve"> </w:t>
      </w:r>
      <w:r>
        <w:t xml:space="preserve">freedom violation will be considered a violation of the Faculty</w:t>
      </w:r>
      <w:r>
        <w:t xml:space="preserve"> </w:t>
      </w:r>
      <w:r>
        <w:t xml:space="preserve">Conduct Policy and the AFS will follow the procedures laid out in that</w:t>
      </w:r>
      <w:r>
        <w:t xml:space="preserve"> </w:t>
      </w:r>
      <w:r>
        <w:t xml:space="preserve">section (</w:t>
      </w:r>
      <w:hyperlink r:id="rId48">
        <w:r>
          <w:rPr>
            <w:rStyle w:val="Hyperlink"/>
          </w:rPr>
          <w:t xml:space="preserve">Chapter 10: Faculty Conduct Policies, 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I</w:t>
        </w:r>
      </w:hyperlink>
      <w:r>
        <w:t xml:space="preserve">).</w:t>
      </w:r>
    </w:p>
    <w:p>
      <w:pPr>
        <w:pStyle w:val="Heading3"/>
      </w:pPr>
      <w:bookmarkStart w:id="49" w:name="chapter-5-section-1c"/>
      <w:r>
        <w:t xml:space="preserve">c. Resolution of Confirmed Violations of Academic Freedom</w:t>
      </w:r>
      <w:bookmarkEnd w:id="49"/>
    </w:p>
    <w:p>
      <w:pPr>
        <w:pStyle w:val="FirstParagraph"/>
      </w:pPr>
      <w:r>
        <w:t xml:space="preserve">Upon confirmation of an academic freedom violation, the goal of the</w:t>
      </w:r>
      <w:r>
        <w:t xml:space="preserve"> </w:t>
      </w:r>
      <w:r>
        <w:t xml:space="preserve">resolution is to protect the faculty member, provide information about</w:t>
      </w:r>
      <w:r>
        <w:t xml:space="preserve"> </w:t>
      </w:r>
      <w:r>
        <w:t xml:space="preserve">the process and finding to all relevant individuals, and produce a</w:t>
      </w:r>
      <w:r>
        <w:t xml:space="preserve"> </w:t>
      </w:r>
      <w:r>
        <w:t xml:space="preserve">plan that can help prevent academic freedom violations in the</w:t>
      </w:r>
      <w:r>
        <w:t xml:space="preserve"> </w:t>
      </w:r>
      <w:r>
        <w:t xml:space="preserve">future. It is not CTAF's responsibility to assign intentionality or to</w:t>
      </w:r>
      <w:r>
        <w:t xml:space="preserve"> </w:t>
      </w:r>
      <w:r>
        <w:t xml:space="preserve">sanction any individual.</w:t>
      </w:r>
    </w:p>
    <w:p>
      <w:pPr>
        <w:pStyle w:val="Heading4"/>
      </w:pPr>
      <w:bookmarkStart w:id="50" w:name="chapter-5-section-1ci"/>
      <w:r>
        <w:t xml:space="preserve">i. Recommended Actions</w:t>
      </w:r>
      <w:bookmarkEnd w:id="50"/>
    </w:p>
    <w:p>
      <w:pPr>
        <w:pStyle w:val="FirstParagraph"/>
      </w:pPr>
      <w:r>
        <w:t xml:space="preserve">Based on all information from the case, the AFS shall recommend</w:t>
      </w:r>
      <w:r>
        <w:t xml:space="preserve"> </w:t>
      </w:r>
      <w:r>
        <w:t xml:space="preserve">possible corrective actions to rectify the academic freedom violation,</w:t>
      </w:r>
      <w:r>
        <w:t xml:space="preserve"> </w:t>
      </w:r>
      <w:r>
        <w:t xml:space="preserve">if possible; protect the complainant against possible retaliation; and</w:t>
      </w:r>
      <w:r>
        <w:t xml:space="preserve"> </w:t>
      </w:r>
      <w:r>
        <w:t xml:space="preserve">reduce the likelihood of similar academic freedom violations in the</w:t>
      </w:r>
      <w:r>
        <w:t xml:space="preserve"> </w:t>
      </w:r>
      <w:r>
        <w:t xml:space="preserve">future, if possible. Such recommended actions may include but are not</w:t>
      </w:r>
      <w:r>
        <w:t xml:space="preserve"> </w:t>
      </w:r>
      <w:r>
        <w:t xml:space="preserve">limited to changing the complainant's direct supervisor, extending the</w:t>
      </w:r>
      <w:r>
        <w:t xml:space="preserve"> </w:t>
      </w:r>
      <w:r>
        <w:t xml:space="preserve">terms of a contract, and/or providing regular oversight of the</w:t>
      </w:r>
      <w:r>
        <w:t xml:space="preserve"> </w:t>
      </w:r>
      <w:r>
        <w:t xml:space="preserve">complainant and supervisor, as appropriate.</w:t>
      </w:r>
    </w:p>
    <w:p>
      <w:pPr>
        <w:pStyle w:val="Heading4"/>
      </w:pPr>
      <w:bookmarkStart w:id="51" w:name="Xfc4014c7ac3a70d1890bf8954cb5344bea45c39"/>
      <w:r>
        <w:t xml:space="preserve">ii. Complete Confidential Report with Recommendations</w:t>
      </w:r>
      <w:bookmarkEnd w:id="51"/>
    </w:p>
    <w:p>
      <w:pPr>
        <w:pStyle w:val="FirstParagraph"/>
      </w:pPr>
      <w:r>
        <w:t xml:space="preserve">The AFS issues a detailed, confidential report with recommendations to</w:t>
      </w:r>
      <w:r>
        <w:t xml:space="preserve"> </w:t>
      </w:r>
      <w:r>
        <w:t xml:space="preserve">the Provost. If the complaint involves the Provost, the Provost's</w:t>
      </w:r>
      <w:r>
        <w:t xml:space="preserve"> </w:t>
      </w:r>
      <w:r>
        <w:t xml:space="preserve">role is replaced by the President here and for the remainder of this</w:t>
      </w:r>
      <w:r>
        <w:t xml:space="preserve"> </w:t>
      </w:r>
      <w:r>
        <w:t xml:space="preserve">procedure. The report provides information on the finding, the</w:t>
      </w:r>
      <w:r>
        <w:t xml:space="preserve"> </w:t>
      </w:r>
      <w:r>
        <w:t xml:space="preserve">procedures followed, the materials considered, the rationale behind</w:t>
      </w:r>
      <w:r>
        <w:t xml:space="preserve"> </w:t>
      </w:r>
      <w:r>
        <w:t xml:space="preserve">the decision, and recommendations from</w:t>
      </w:r>
      <w:r>
        <w:t xml:space="preserve"> </w:t>
      </w:r>
      <w:hyperlink r:id="rId52">
        <w:r>
          <w:rPr>
            <w:rStyle w:val="Hyperlink"/>
          </w:rPr>
          <w:t xml:space="preserve">Step i (Recommended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Actions)</w:t>
        </w:r>
      </w:hyperlink>
      <w:r>
        <w:t xml:space="preserve"> </w:t>
      </w:r>
      <w:r>
        <w:t xml:space="preserve">of this</w:t>
      </w:r>
      <w:r>
        <w:t xml:space="preserve"> </w:t>
      </w:r>
      <w:hyperlink r:id="rId53">
        <w:r>
          <w:rPr>
            <w:rStyle w:val="Hyperlink"/>
          </w:rPr>
          <w:t xml:space="preserve">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c</w:t>
        </w:r>
      </w:hyperlink>
      <w:r>
        <w:t xml:space="preserve">. As much as possible, the</w:t>
      </w:r>
      <w:r>
        <w:t xml:space="preserve"> </w:t>
      </w:r>
      <w:r>
        <w:t xml:space="preserve">identities of all interviewees should be anonymized. Upon receiving</w:t>
      </w:r>
      <w:r>
        <w:t xml:space="preserve"> </w:t>
      </w:r>
      <w:r>
        <w:t xml:space="preserve">the report, the Provost must meet with the AFS to discuss the case.</w:t>
      </w:r>
      <w:r>
        <w:t xml:space="preserve"> </w:t>
      </w:r>
      <w:r>
        <w:t xml:space="preserve">All aspects of this discussion are confidential between the AFS and</w:t>
      </w:r>
      <w:r>
        <w:t xml:space="preserve"> </w:t>
      </w:r>
      <w:r>
        <w:t xml:space="preserve">the Provost. If any of the AFS's recommendations are administratively</w:t>
      </w:r>
      <w:r>
        <w:t xml:space="preserve"> </w:t>
      </w:r>
      <w:r>
        <w:t xml:space="preserve">infeasible, the Provost and AFS will jointly devise feasible</w:t>
      </w:r>
      <w:r>
        <w:t xml:space="preserve"> </w:t>
      </w:r>
      <w:r>
        <w:t xml:space="preserve">alternatives that address the AFS's concerns about protective and</w:t>
      </w:r>
      <w:r>
        <w:t xml:space="preserve"> </w:t>
      </w:r>
      <w:r>
        <w:t xml:space="preserve">corrective measures. After this meeting, the AFS may choose to revise</w:t>
      </w:r>
      <w:r>
        <w:t xml:space="preserve"> </w:t>
      </w:r>
      <w:r>
        <w:t xml:space="preserve">the recommendations in the report.</w:t>
      </w:r>
    </w:p>
    <w:p>
      <w:pPr>
        <w:pStyle w:val="Heading4"/>
      </w:pPr>
      <w:bookmarkStart w:id="54" w:name="iii.-provost-produces-management-plan"/>
      <w:r>
        <w:t xml:space="preserve">iii. Provost Produces Management Plan</w:t>
      </w:r>
      <w:bookmarkEnd w:id="54"/>
    </w:p>
    <w:p>
      <w:pPr>
        <w:pStyle w:val="FirstParagraph"/>
      </w:pPr>
      <w:r>
        <w:t xml:space="preserve">The Provost produces a management plan consistent with the report and</w:t>
      </w:r>
      <w:r>
        <w:t xml:space="preserve"> </w:t>
      </w:r>
      <w:r>
        <w:t xml:space="preserve">recommendations that addresses the AFS's concerns about protective and</w:t>
      </w:r>
      <w:r>
        <w:t xml:space="preserve"> </w:t>
      </w:r>
      <w:r>
        <w:t xml:space="preserve">corrective measures. The plan details protective actions taken for</w:t>
      </w:r>
      <w:r>
        <w:t xml:space="preserve"> </w:t>
      </w:r>
      <w:r>
        <w:t xml:space="preserve">the complainant, corrective actions taken, if any, to any relevant</w:t>
      </w:r>
      <w:r>
        <w:t xml:space="preserve"> </w:t>
      </w:r>
      <w:r>
        <w:t xml:space="preserve">individuals, and a timeline for implementation, as appropriate. In</w:t>
      </w:r>
      <w:r>
        <w:t xml:space="preserve"> </w:t>
      </w:r>
      <w:r>
        <w:t xml:space="preserve">consultation with the AFS, the management plan will include</w:t>
      </w:r>
      <w:r>
        <w:t xml:space="preserve"> </w:t>
      </w:r>
      <w:r>
        <w:t xml:space="preserve">appropriate oversight and safeguards to ensure non retaliation against</w:t>
      </w:r>
      <w:r>
        <w:t xml:space="preserve"> </w:t>
      </w:r>
      <w:r>
        <w:t xml:space="preserve">the complainant.</w:t>
      </w:r>
    </w:p>
    <w:p>
      <w:pPr>
        <w:pStyle w:val="Heading4"/>
      </w:pPr>
      <w:bookmarkStart w:id="55" w:name="X9cd1bc3c29d2e6f0344c193f838f66884327b90"/>
      <w:r>
        <w:t xml:space="preserve">iv. Delay When Provost Has Made Positive Tenure Recommendation for Probationary Faculty Members</w:t>
      </w:r>
      <w:bookmarkEnd w:id="55"/>
    </w:p>
    <w:p>
      <w:pPr>
        <w:pStyle w:val="FirstParagraph"/>
      </w:pPr>
      <w:r>
        <w:t xml:space="preserve">The Provost shall pause the resolution phase until the Board of</w:t>
      </w:r>
      <w:r>
        <w:t xml:space="preserve"> </w:t>
      </w:r>
      <w:r>
        <w:t xml:space="preserve">Trustees has voted on the Provost's positive tenure recommendations.</w:t>
      </w:r>
    </w:p>
    <w:p>
      <w:pPr>
        <w:pStyle w:val="Heading4"/>
      </w:pPr>
      <w:bookmarkStart w:id="56" w:name="v.-share-part-of-management-plan"/>
      <w:r>
        <w:t xml:space="preserve">v. Share Part of Management Plan</w:t>
      </w:r>
      <w:bookmarkEnd w:id="56"/>
    </w:p>
    <w:p>
      <w:pPr>
        <w:pStyle w:val="FirstParagraph"/>
      </w:pPr>
      <w:r>
        <w:t xml:space="preserve">The Provost sends the management plan first to the AFS, and then the</w:t>
      </w:r>
      <w:r>
        <w:t xml:space="preserve"> </w:t>
      </w:r>
      <w:r>
        <w:t xml:space="preserve">report and pertinent parts of the plan to the complainant.</w:t>
      </w:r>
    </w:p>
    <w:p>
      <w:pPr>
        <w:pStyle w:val="Heading4"/>
      </w:pPr>
      <w:bookmarkStart w:id="57" w:name="Xd341c0c0abb0c454907afdf80eedf60b1245815"/>
      <w:r>
        <w:t xml:space="preserve">vi. Special Case for Probationary Tenure-track Faculty Members in Addition to Recommended Actions</w:t>
      </w:r>
      <w:bookmarkEnd w:id="57"/>
    </w:p>
    <w:p>
      <w:pPr>
        <w:pStyle w:val="FirstParagraph"/>
      </w:pPr>
      <w:r>
        <w:t xml:space="preserve">If the complainant is a probationary faculty member consistent with</w:t>
      </w:r>
      <w:r>
        <w:t xml:space="preserve"> </w:t>
      </w:r>
      <w:r>
        <w:t xml:space="preserve">the minimum time that must be served on a probationary appointment</w:t>
      </w:r>
      <w:r>
        <w:t xml:space="preserve"> </w:t>
      </w:r>
      <w:r>
        <w:t xml:space="preserve">prior to the tenure review (described in</w:t>
      </w:r>
      <w:r>
        <w:t xml:space="preserve"> </w:t>
      </w:r>
      <w:hyperlink r:id="rId58">
        <w:r>
          <w:rPr>
            <w:rStyle w:val="Hyperlink"/>
          </w:rPr>
          <w:t xml:space="preserve">Chapter Two: Academic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Appointments, Section 3.a.i</w:t>
        </w:r>
      </w:hyperlink>
      <w:r>
        <w:t xml:space="preserve"> </w:t>
      </w:r>
      <w:r>
        <w:t xml:space="preserve">and</w:t>
      </w:r>
      <w:r>
        <w:t xml:space="preserve"> </w:t>
      </w:r>
      <w:r>
        <w:t xml:space="preserve">in</w:t>
      </w:r>
      <w:r>
        <w:t xml:space="preserve"> </w:t>
      </w:r>
      <w:hyperlink r:id="rId59">
        <w:r>
          <w:rPr>
            <w:rStyle w:val="Hyperlink"/>
          </w:rPr>
          <w:t xml:space="preserve">Chapter Three: Tenure, 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1</w:t>
        </w:r>
      </w:hyperlink>
      <w:r>
        <w:t xml:space="preserve">), the procedures in</w:t>
      </w:r>
      <w:r>
        <w:t xml:space="preserve"> </w:t>
      </w:r>
      <w:hyperlink r:id="rId60">
        <w:r>
          <w:rPr>
            <w:rStyle w:val="Hyperlink"/>
          </w:rPr>
          <w:t xml:space="preserve">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c.vi.1</w:t>
        </w:r>
      </w:hyperlink>
      <w:r>
        <w:t xml:space="preserve"> </w:t>
      </w:r>
      <w:r>
        <w:t xml:space="preserve">of this policy are</w:t>
      </w:r>
      <w:r>
        <w:t xml:space="preserve"> </w:t>
      </w:r>
      <w:r>
        <w:t xml:space="preserve">followed before proceeding with</w:t>
      </w:r>
      <w:r>
        <w:t xml:space="preserve"> </w:t>
      </w:r>
      <w:hyperlink r:id="rId61">
        <w:r>
          <w:rPr>
            <w:rStyle w:val="Hyperlink"/>
          </w:rPr>
          <w:t xml:space="preserve">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c.vii</w:t>
        </w:r>
      </w:hyperlink>
      <w:r>
        <w:t xml:space="preserve">. The procedures are</w:t>
      </w:r>
      <w:r>
        <w:t xml:space="preserve"> </w:t>
      </w:r>
      <w:r>
        <w:t xml:space="preserve">intended to help mitigate any damage that might have resulted from the</w:t>
      </w:r>
      <w:r>
        <w:t xml:space="preserve"> </w:t>
      </w:r>
      <w:r>
        <w:t xml:space="preserve">academic freedom violation and to initiate appropriate interventions</w:t>
      </w:r>
      <w:r>
        <w:t xml:space="preserve"> </w:t>
      </w:r>
      <w:r>
        <w:t xml:space="preserve">intended to address conditions that may have led to the violation.</w:t>
      </w:r>
    </w:p>
    <w:p>
      <w:pPr>
        <w:pStyle w:val="Heading5"/>
      </w:pPr>
      <w:bookmarkStart w:id="62" w:name="chapter-5-section-cvi1"/>
      <w:r>
        <w:t xml:space="preserve">1. Procedures for Probationary Tenure-track Faculty Members</w:t>
      </w:r>
      <w:bookmarkEnd w:id="62"/>
    </w:p>
    <w:p>
      <w:pPr>
        <w:pStyle w:val="FirstParagraph"/>
      </w:pPr>
      <w:r>
        <w:t xml:space="preserve">In cases in which the AFS finds that the academic freedom of a</w:t>
      </w:r>
      <w:r>
        <w:t xml:space="preserve"> </w:t>
      </w:r>
      <w:r>
        <w:t xml:space="preserve">probationary faculty member has been violated, the complainant will be</w:t>
      </w:r>
      <w:r>
        <w:t xml:space="preserve"> </w:t>
      </w:r>
      <w:r>
        <w:t xml:space="preserve">invited to apply for tenure to protect the faculty member from</w:t>
      </w:r>
      <w:r>
        <w:t xml:space="preserve"> </w:t>
      </w:r>
      <w:r>
        <w:t xml:space="preserve">retaliation or ongoing harm from the initial violation. The AFS chair</w:t>
      </w:r>
      <w:r>
        <w:t xml:space="preserve"> </w:t>
      </w:r>
      <w:r>
        <w:t xml:space="preserve">will review the tenure process and all possible outcomes and</w:t>
      </w:r>
      <w:r>
        <w:t xml:space="preserve"> </w:t>
      </w:r>
      <w:r>
        <w:t xml:space="preserve">implications with the candidate before the candidate makes a decision</w:t>
      </w:r>
      <w:r>
        <w:t xml:space="preserve"> </w:t>
      </w:r>
      <w:r>
        <w:t xml:space="preserve">whether or not to accept the invitation. In this tenure process, CTAF</w:t>
      </w:r>
      <w:r>
        <w:t xml:space="preserve"> </w:t>
      </w:r>
      <w:r>
        <w:t xml:space="preserve">shall seek to include and evaluate as many of the components of a</w:t>
      </w:r>
      <w:r>
        <w:t xml:space="preserve"> </w:t>
      </w:r>
      <w:r>
        <w:t xml:space="preserve">normal tenure case as possible, without undue jeopardy to the faculty</w:t>
      </w:r>
      <w:r>
        <w:t xml:space="preserve"> </w:t>
      </w:r>
      <w:r>
        <w:t xml:space="preserve">member's confidentiality in the academic freedom case. CTAF shall</w:t>
      </w:r>
      <w:r>
        <w:t xml:space="preserve"> </w:t>
      </w:r>
      <w:r>
        <w:t xml:space="preserve">recommend for tenure if there is good evidence that the nominee would</w:t>
      </w:r>
      <w:r>
        <w:t xml:space="preserve"> </w:t>
      </w:r>
      <w:r>
        <w:t xml:space="preserve">eventually be tenured by the normal procedure and tenure criteria.</w:t>
      </w:r>
    </w:p>
    <w:p>
      <w:pPr>
        <w:pStyle w:val="BodyText"/>
      </w:pPr>
      <w:r>
        <w:t xml:space="preserve">All those involved in the tenure case shall endeavor to maintain the</w:t>
      </w:r>
      <w:r>
        <w:t xml:space="preserve"> </w:t>
      </w:r>
      <w:r>
        <w:t xml:space="preserve">strictest confidentiality regarding the existence of the case and to</w:t>
      </w:r>
      <w:r>
        <w:t xml:space="preserve"> </w:t>
      </w:r>
      <w:r>
        <w:t xml:space="preserve">expedite their role in the case to the maximum extent possible. The</w:t>
      </w:r>
      <w:r>
        <w:t xml:space="preserve"> </w:t>
      </w:r>
      <w:r>
        <w:t xml:space="preserve">procedures otherwise to be followed in the tenure review and the</w:t>
      </w:r>
      <w:r>
        <w:t xml:space="preserve"> </w:t>
      </w:r>
      <w:r>
        <w:t xml:space="preserve">granting of tenure (and, in the cases of assistant professors and</w:t>
      </w:r>
      <w:r>
        <w:t xml:space="preserve"> </w:t>
      </w:r>
      <w:r>
        <w:t xml:space="preserve">assistant professors of teaching, promotion to the corresponding</w:t>
      </w:r>
      <w:r>
        <w:t xml:space="preserve"> </w:t>
      </w:r>
      <w:r>
        <w:t xml:space="preserve">associate rank) will be, to the extent possible without exposing the</w:t>
      </w:r>
      <w:r>
        <w:t xml:space="preserve"> </w:t>
      </w:r>
      <w:r>
        <w:t xml:space="preserve">faculty member to further jeopardy, those followed in a normal tenure</w:t>
      </w:r>
      <w:r>
        <w:t xml:space="preserve"> </w:t>
      </w:r>
      <w:r>
        <w:t xml:space="preserve">case, including promotion to the associate rank when the faculty</w:t>
      </w:r>
      <w:r>
        <w:t xml:space="preserve"> </w:t>
      </w:r>
      <w:r>
        <w:t xml:space="preserve">member is at the assistant rank. The</w:t>
      </w:r>
      <w:r>
        <w:t xml:space="preserve"> </w:t>
      </w:r>
      <w:hyperlink r:id="rId63">
        <w:r>
          <w:rPr>
            <w:rStyle w:val="Hyperlink"/>
          </w:rPr>
          <w:t xml:space="preserve">Appendix</w:t>
        </w:r>
      </w:hyperlink>
      <w:r>
        <w:t xml:space="preserve"> </w:t>
      </w:r>
      <w:r>
        <w:t xml:space="preserve">contains details</w:t>
      </w:r>
      <w:r>
        <w:t xml:space="preserve"> </w:t>
      </w:r>
      <w:r>
        <w:t xml:space="preserve">about the revised process.</w:t>
      </w:r>
    </w:p>
    <w:p>
      <w:pPr>
        <w:pStyle w:val="Heading4"/>
      </w:pPr>
      <w:bookmarkStart w:id="64" w:name="chapter-5-section-cvii"/>
      <w:r>
        <w:t xml:space="preserve">vii. Share All of Management Plan</w:t>
      </w:r>
      <w:bookmarkEnd w:id="64"/>
    </w:p>
    <w:p>
      <w:pPr>
        <w:pStyle w:val="FirstParagraph"/>
      </w:pPr>
      <w:r>
        <w:t xml:space="preserve">The Provost sends the report and pertinent parts to all relevant</w:t>
      </w:r>
      <w:r>
        <w:t xml:space="preserve"> </w:t>
      </w:r>
      <w:r>
        <w:t xml:space="preserve">individuals.</w:t>
      </w:r>
    </w:p>
    <w:p>
      <w:pPr>
        <w:pStyle w:val="Heading4"/>
      </w:pPr>
      <w:bookmarkStart w:id="65" w:name="Xb8f2de488be9728742a51f84e5ea9779fecbab9"/>
      <w:r>
        <w:t xml:space="preserve">viii. Enact Plan and Provide Updates Until Plan Completed</w:t>
      </w:r>
      <w:bookmarkEnd w:id="65"/>
    </w:p>
    <w:p>
      <w:pPr>
        <w:pStyle w:val="FirstParagraph"/>
      </w:pPr>
      <w:r>
        <w:t xml:space="preserve">The Provost takes appropriate action following the management plan and</w:t>
      </w:r>
      <w:r>
        <w:t xml:space="preserve"> </w:t>
      </w:r>
      <w:r>
        <w:t xml:space="preserve">submits an annual statement to the Chair of CTAF affirming that the</w:t>
      </w:r>
      <w:r>
        <w:t xml:space="preserve"> </w:t>
      </w:r>
      <w:r>
        <w:t xml:space="preserve">management plan's requirements are being met, until the completion of</w:t>
      </w:r>
      <w:r>
        <w:t xml:space="preserve"> </w:t>
      </w:r>
      <w:r>
        <w:t xml:space="preserve">the plan. At that time, the case is closed, and no further action is</w:t>
      </w:r>
      <w:r>
        <w:t xml:space="preserve"> </w:t>
      </w:r>
      <w:r>
        <w:t xml:space="preserve">required by CTAF. If the complainant finds the management plan has</w:t>
      </w:r>
      <w:r>
        <w:t xml:space="preserve"> </w:t>
      </w:r>
      <w:r>
        <w:t xml:space="preserve">not been effective in resolving the initial complaint, they can</w:t>
      </w:r>
      <w:r>
        <w:t xml:space="preserve"> </w:t>
      </w:r>
      <w:r>
        <w:t xml:space="preserve">restart the complaint process (</w:t>
      </w:r>
      <w:hyperlink r:id="rId66">
        <w:r>
          <w:rPr>
            <w:rStyle w:val="Hyperlink"/>
          </w:rPr>
          <w:t xml:space="preserve">Step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b.i</w:t>
        </w:r>
      </w:hyperlink>
      <w:r>
        <w:t xml:space="preserve">). The Provost's office is</w:t>
      </w:r>
      <w:r>
        <w:t xml:space="preserve"> </w:t>
      </w:r>
      <w:r>
        <w:t xml:space="preserve">required to maintain confidential records on management plans.</w:t>
      </w:r>
    </w:p>
    <w:p>
      <w:pPr>
        <w:pStyle w:val="Heading3"/>
      </w:pPr>
      <w:bookmarkStart w:id="67" w:name="chapter-section-1-appendix"/>
      <w:r>
        <w:t xml:space="preserve">Appendix - Details of Revised Tenure Process for Probationary Tenure-track Faculty Members</w:t>
      </w:r>
      <w:bookmarkEnd w:id="67"/>
    </w:p>
    <w:p>
      <w:pPr>
        <w:pStyle w:val="FirstParagraph"/>
      </w:pPr>
      <w:r>
        <w:t xml:space="preserve">If the candidate decides to accept the invitation to apply for tenure,</w:t>
      </w:r>
      <w:r>
        <w:t xml:space="preserve"> </w:t>
      </w:r>
      <w:r>
        <w:t xml:space="preserve">a Joint Tenure Committee will be formed according to normal procedure</w:t>
      </w:r>
      <w:r>
        <w:t xml:space="preserve"> </w:t>
      </w:r>
      <w:r>
        <w:t xml:space="preserve">as long as neither elected member of the Department Tenure Committee</w:t>
      </w:r>
      <w:r>
        <w:t xml:space="preserve"> </w:t>
      </w:r>
      <w:r>
        <w:t xml:space="preserve">nor the Department Head is directly involved in the academic freedom</w:t>
      </w:r>
      <w:r>
        <w:t xml:space="preserve"> </w:t>
      </w:r>
      <w:r>
        <w:t xml:space="preserve">complaint. Where one (or more) of the three members of the DTC has</w:t>
      </w:r>
      <w:r>
        <w:t xml:space="preserve"> </w:t>
      </w:r>
      <w:r>
        <w:t xml:space="preserve">been on a complainant's AFS, a modified Joint Tenure Committee will be</w:t>
      </w:r>
      <w:r>
        <w:t xml:space="preserve"> </w:t>
      </w:r>
      <w:r>
        <w:t xml:space="preserve">formed consisting of five members of CTAF and three departmental</w:t>
      </w:r>
      <w:r>
        <w:t xml:space="preserve"> </w:t>
      </w:r>
      <w:r>
        <w:t xml:space="preserve">colleagues, with the most recent past DTC member substituting for the</w:t>
      </w:r>
      <w:r>
        <w:t xml:space="preserve"> </w:t>
      </w:r>
      <w:r>
        <w:t xml:space="preserve">member that is recused because of involvement with the academic</w:t>
      </w:r>
      <w:r>
        <w:t xml:space="preserve"> </w:t>
      </w:r>
      <w:r>
        <w:t xml:space="preserve">freedom case. Members of the JTC that were not members of the AFS that</w:t>
      </w:r>
      <w:r>
        <w:t xml:space="preserve"> </w:t>
      </w:r>
      <w:r>
        <w:t xml:space="preserve">reviewed the initial academic freedom complaint must be informed of</w:t>
      </w:r>
      <w:r>
        <w:t xml:space="preserve"> </w:t>
      </w:r>
      <w:r>
        <w:t xml:space="preserve">the special nature of the case but shall not be given any details of</w:t>
      </w:r>
      <w:r>
        <w:t xml:space="preserve"> </w:t>
      </w:r>
      <w:r>
        <w:t xml:space="preserve">the academic freedom case. This includes members of the DTC but may</w:t>
      </w:r>
      <w:r>
        <w:t xml:space="preserve"> </w:t>
      </w:r>
      <w:r>
        <w:t xml:space="preserve">also include CTAF members where the CTAF membership of the JTC is</w:t>
      </w:r>
      <w:r>
        <w:t xml:space="preserve"> </w:t>
      </w:r>
      <w:r>
        <w:t xml:space="preserve">different than the AFS. All members of the JTC shall keep the</w:t>
      </w:r>
      <w:r>
        <w:t xml:space="preserve"> </w:t>
      </w:r>
      <w:r>
        <w:t xml:space="preserve">existence of the academic freedom case and the resulting tenure case</w:t>
      </w:r>
      <w:r>
        <w:t xml:space="preserve"> </w:t>
      </w:r>
      <w:r>
        <w:t xml:space="preserve">confidential.</w:t>
      </w:r>
    </w:p>
    <w:p>
      <w:pPr>
        <w:pStyle w:val="BodyText"/>
      </w:pPr>
      <w:r>
        <w:t xml:space="preserve">A modified procedure will be used to seek external reviews. Members of</w:t>
      </w:r>
      <w:r>
        <w:t xml:space="preserve"> </w:t>
      </w:r>
      <w:r>
        <w:t xml:space="preserve">the modified DTC will seek commitments from senior faculty members (at</w:t>
      </w:r>
      <w:r>
        <w:t xml:space="preserve"> </w:t>
      </w:r>
      <w:r>
        <w:t xml:space="preserve">the rank of associate professor or above) from outside WPI who are</w:t>
      </w:r>
      <w:r>
        <w:t xml:space="preserve"> </w:t>
      </w:r>
      <w:r>
        <w:t xml:space="preserve">able to evaluate the candidate's tenure dossier. The DTC will</w:t>
      </w:r>
      <w:r>
        <w:t xml:space="preserve"> </w:t>
      </w:r>
      <w:r>
        <w:t xml:space="preserve">specifically seek external reviewers similar to those who would have</w:t>
      </w:r>
      <w:r>
        <w:t xml:space="preserve"> </w:t>
      </w:r>
      <w:r>
        <w:t xml:space="preserve">been chosen in a standard tenure case. Reviewers will be given a</w:t>
      </w:r>
      <w:r>
        <w:t xml:space="preserve"> </w:t>
      </w:r>
      <w:r>
        <w:t xml:space="preserve">general explanation of the unusual situation (without providing any</w:t>
      </w:r>
      <w:r>
        <w:t xml:space="preserve"> </w:t>
      </w:r>
      <w:r>
        <w:t xml:space="preserve">details or naming any individuals involved in the academic freedom</w:t>
      </w:r>
      <w:r>
        <w:t xml:space="preserve"> </w:t>
      </w:r>
      <w:r>
        <w:t xml:space="preserve">case), along with copies of WPI's tenure criteria and an explanation</w:t>
      </w:r>
      <w:r>
        <w:t xml:space="preserve"> </w:t>
      </w:r>
      <w:r>
        <w:t xml:space="preserve">of how early tenure cases should be evaluated in cases of academic</w:t>
      </w:r>
      <w:r>
        <w:t xml:space="preserve"> </w:t>
      </w:r>
      <w:r>
        <w:t xml:space="preserve">freedom violation. Details of the tenure case will only be sent to</w:t>
      </w:r>
      <w:r>
        <w:t xml:space="preserve"> </w:t>
      </w:r>
      <w:r>
        <w:t xml:space="preserve">external reviewers who agree in advance to keep the case in complete</w:t>
      </w:r>
      <w:r>
        <w:t xml:space="preserve"> </w:t>
      </w:r>
      <w:r>
        <w:t xml:space="preserve">confidentiality, including from all members of the WPI community other</w:t>
      </w:r>
      <w:r>
        <w:t xml:space="preserve"> </w:t>
      </w:r>
      <w:r>
        <w:t xml:space="preserve">than the JTC and the faculty governance coordinator. External</w:t>
      </w:r>
      <w:r>
        <w:t xml:space="preserve"> </w:t>
      </w:r>
      <w:r>
        <w:t xml:space="preserve">reviewers will not be given any details about the academic freedom</w:t>
      </w:r>
      <w:r>
        <w:t xml:space="preserve"> </w:t>
      </w:r>
      <w:r>
        <w:t xml:space="preserve">case.</w:t>
      </w:r>
    </w:p>
    <w:p>
      <w:pPr>
        <w:pStyle w:val="BodyText"/>
      </w:pPr>
      <w:r>
        <w:t xml:space="preserve">No departmental interviews will be conducted. The candidate may choose</w:t>
      </w:r>
      <w:r>
        <w:t xml:space="preserve"> </w:t>
      </w:r>
      <w:r>
        <w:t xml:space="preserve">to request letters from some departmental colleagues, other than DTC</w:t>
      </w:r>
      <w:r>
        <w:t xml:space="preserve"> </w:t>
      </w:r>
      <w:r>
        <w:t xml:space="preserve">members, as part of their professional associate letters.</w:t>
      </w:r>
    </w:p>
    <w:p>
      <w:pPr>
        <w:pStyle w:val="BodyText"/>
      </w:pPr>
      <w:r>
        <w:t xml:space="preserve">The JTC will deliberate and reach a decision to either table the early</w:t>
      </w:r>
      <w:r>
        <w:t xml:space="preserve"> </w:t>
      </w:r>
      <w:r>
        <w:t xml:space="preserve">tenure application or recommend for tenure. If the decision is to</w:t>
      </w:r>
      <w:r>
        <w:t xml:space="preserve"> </w:t>
      </w:r>
      <w:r>
        <w:t xml:space="preserve">table the case, the candidate is notified in writing by the CTAF</w:t>
      </w:r>
      <w:r>
        <w:t xml:space="preserve"> </w:t>
      </w:r>
      <w:r>
        <w:t xml:space="preserve">member who served as the Chair of the JTC and the candidate will be</w:t>
      </w:r>
      <w:r>
        <w:t xml:space="preserve"> </w:t>
      </w:r>
      <w:r>
        <w:t xml:space="preserve">eligible in the future to apply for tenure under the normal tenure</w:t>
      </w:r>
      <w:r>
        <w:t xml:space="preserve"> </w:t>
      </w:r>
      <w:r>
        <w:t xml:space="preserve">process. All details about the academic freedom case shall remain</w:t>
      </w:r>
      <w:r>
        <w:t xml:space="preserve"> </w:t>
      </w:r>
      <w:r>
        <w:t xml:space="preserve">confidential.</w:t>
      </w:r>
    </w:p>
    <w:p>
      <w:pPr>
        <w:pStyle w:val="BodyText"/>
      </w:pPr>
      <w:r>
        <w:t xml:space="preserve">If the JTC's decision is to recommend for early tenure, it will</w:t>
      </w:r>
      <w:r>
        <w:t xml:space="preserve"> </w:t>
      </w:r>
      <w:r>
        <w:t xml:space="preserve">provide a unitary recommendation to the AFS, written by the CTAF</w:t>
      </w:r>
      <w:r>
        <w:t xml:space="preserve"> </w:t>
      </w:r>
      <w:r>
        <w:t xml:space="preserve">member who served as the Chair of the JTC and signed by all members of</w:t>
      </w:r>
      <w:r>
        <w:t xml:space="preserve"> </w:t>
      </w:r>
      <w:r>
        <w:t xml:space="preserve">the JTC. Each member of AFS will then sign the recommendation and send</w:t>
      </w:r>
      <w:r>
        <w:t xml:space="preserve"> </w:t>
      </w:r>
      <w:r>
        <w:t xml:space="preserve">it to the Provost. While the Provost can consult with the appropriate</w:t>
      </w:r>
      <w:r>
        <w:t xml:space="preserve"> </w:t>
      </w:r>
      <w:r>
        <w:t xml:space="preserve">Dean and the President, the details of the academic freedom case will</w:t>
      </w:r>
      <w:r>
        <w:t xml:space="preserve"> </w:t>
      </w:r>
      <w:r>
        <w:t xml:space="preserve">remain confidential from the Board of Trustees.</w:t>
      </w:r>
    </w:p>
    <w:p>
      <w:pPr>
        <w:pStyle w:val="BodyText"/>
      </w:pPr>
      <w:r>
        <w:t xml:space="preserve">The Provost may ask to meet with the JTC to discuss the recommendation</w:t>
      </w:r>
      <w:r>
        <w:t xml:space="preserve"> </w:t>
      </w:r>
      <w:r>
        <w:t xml:space="preserve">and the Provost must meet with the JTC in the case of a disagreement</w:t>
      </w:r>
      <w:r>
        <w:t xml:space="preserve"> </w:t>
      </w:r>
      <w:r>
        <w:t xml:space="preserve">about a tenure recommendation. Any such discussion between the Provost</w:t>
      </w:r>
      <w:r>
        <w:t xml:space="preserve"> </w:t>
      </w:r>
      <w:r>
        <w:t xml:space="preserve">and the JTC is about the tenure case only, does not involve the AFS,</w:t>
      </w:r>
      <w:r>
        <w:t xml:space="preserve"> </w:t>
      </w:r>
      <w:r>
        <w:t xml:space="preserve">does not include materials or issues regarding the academic freedom</w:t>
      </w:r>
      <w:r>
        <w:t xml:space="preserve"> </w:t>
      </w:r>
      <w:r>
        <w:t xml:space="preserve">violation, and is confidential between the Provost and the JTC only.</w:t>
      </w:r>
    </w:p>
    <w:p>
      <w:pPr>
        <w:pStyle w:val="Heading2"/>
      </w:pPr>
      <w:bookmarkStart w:id="68" w:name="chapter-5-section-2"/>
      <w:r>
        <w:t xml:space="preserve">2. Procedure for Faculty Grievances Not Related to Academic Freedom Violations</w:t>
      </w:r>
      <w:bookmarkEnd w:id="68"/>
    </w:p>
    <w:p>
      <w:pPr>
        <w:pStyle w:val="FirstParagraph"/>
      </w:pPr>
      <w:r>
        <w:t xml:space="preserve">(Amended by the Faculty,</w:t>
      </w:r>
      <w:r>
        <w:t xml:space="preserve"> </w:t>
      </w:r>
      <w:r>
        <w:rPr>
          <w:i/>
        </w:rPr>
        <w:t xml:space="preserve">May 9, 2017</w:t>
      </w:r>
      <w:r>
        <w:t xml:space="preserve">)</w:t>
      </w:r>
      <w:r>
        <w:br/>
      </w:r>
      <w:r>
        <w:t xml:space="preserve">(Amended by the Faculty,</w:t>
      </w:r>
      <w:r>
        <w:t xml:space="preserve"> </w:t>
      </w:r>
      <w:r>
        <w:rPr>
          <w:i/>
        </w:rPr>
        <w:t xml:space="preserve">March 13, 2024</w:t>
      </w:r>
      <w:r>
        <w:t xml:space="preserve">)</w:t>
      </w:r>
    </w:p>
    <w:p>
      <w:pPr>
        <w:pStyle w:val="Heading3"/>
      </w:pPr>
      <w:bookmarkStart w:id="69" w:name="a.-grounds"/>
      <w:r>
        <w:t xml:space="preserve">a. Grounds</w:t>
      </w:r>
      <w:bookmarkEnd w:id="69"/>
    </w:p>
    <w:p>
      <w:pPr>
        <w:pStyle w:val="FirstParagraph"/>
      </w:pPr>
      <w:r>
        <w:t xml:space="preserve">Faculty members may submit specific grievances to the Faculty Review</w:t>
      </w:r>
      <w:r>
        <w:t xml:space="preserve"> </w:t>
      </w:r>
      <w:r>
        <w:t xml:space="preserve">Committee (FRC). For these faculty grievances, the FRC has the power</w:t>
      </w:r>
      <w:r>
        <w:t xml:space="preserve"> </w:t>
      </w:r>
      <w:r>
        <w:t xml:space="preserve">to review and to require reconsideration of:</w:t>
      </w:r>
    </w:p>
    <w:p>
      <w:pPr>
        <w:numPr>
          <w:ilvl w:val="0"/>
          <w:numId w:val="1005"/>
        </w:numPr>
        <w:pStyle w:val="Compact"/>
      </w:pPr>
      <w:r>
        <w:t xml:space="preserve">The Provost's decision not to renew a probationary, tenure-track appointment</w:t>
      </w:r>
    </w:p>
    <w:p>
      <w:pPr>
        <w:numPr>
          <w:ilvl w:val="0"/>
          <w:numId w:val="1005"/>
        </w:numPr>
        <w:pStyle w:val="Compact"/>
      </w:pPr>
      <w:r>
        <w:t xml:space="preserve">Decisions not to renew or to terminate appointments of secured</w:t>
      </w:r>
      <w:r>
        <w:t xml:space="preserve"> </w:t>
      </w:r>
      <w:r>
        <w:t xml:space="preserve">nontenure-track faculty members on 3-year or 5 (or more)-year</w:t>
      </w:r>
      <w:r>
        <w:t xml:space="preserve"> </w:t>
      </w:r>
      <w:r>
        <w:t xml:space="preserve">contracts;</w:t>
      </w:r>
    </w:p>
    <w:p>
      <w:pPr>
        <w:numPr>
          <w:ilvl w:val="0"/>
          <w:numId w:val="1005"/>
        </w:numPr>
        <w:pStyle w:val="Compact"/>
      </w:pPr>
      <w:r>
        <w:t xml:space="preserve">Negative decisions on tenure; and</w:t>
      </w:r>
    </w:p>
    <w:p>
      <w:pPr>
        <w:numPr>
          <w:ilvl w:val="0"/>
          <w:numId w:val="1005"/>
        </w:numPr>
        <w:pStyle w:val="Compact"/>
      </w:pPr>
      <w:r>
        <w:t xml:space="preserve">Negative decisions on promotions of tenured, tenure track, and</w:t>
      </w:r>
      <w:r>
        <w:t xml:space="preserve"> </w:t>
      </w:r>
      <w:r>
        <w:t xml:space="preserve">non-tenure track faculty members.</w:t>
      </w:r>
    </w:p>
    <w:p>
      <w:pPr>
        <w:pStyle w:val="FirstParagraph"/>
      </w:pPr>
      <w:r>
        <w:t xml:space="preserve">where the action, decision, or recommendation is alleged by an</w:t>
      </w:r>
      <w:r>
        <w:t xml:space="preserve"> </w:t>
      </w:r>
      <w:r>
        <w:t xml:space="preserve">aggrieved faculty member to result from:</w:t>
      </w:r>
    </w:p>
    <w:p>
      <w:pPr>
        <w:numPr>
          <w:ilvl w:val="0"/>
          <w:numId w:val="1006"/>
        </w:numPr>
        <w:pStyle w:val="Compact"/>
      </w:pPr>
      <w:r>
        <w:t xml:space="preserve">improper procedure; or</w:t>
      </w:r>
    </w:p>
    <w:p>
      <w:pPr>
        <w:numPr>
          <w:ilvl w:val="0"/>
          <w:numId w:val="1006"/>
        </w:numPr>
        <w:pStyle w:val="Compact"/>
      </w:pPr>
      <w:r>
        <w:t xml:space="preserve">discrimination based on race, sex, age, color, national origin,</w:t>
      </w:r>
      <w:r>
        <w:t xml:space="preserve"> </w:t>
      </w:r>
      <w:r>
        <w:t xml:space="preserve">religion, genetic identity, disability, gender identity or expression,</w:t>
      </w:r>
      <w:r>
        <w:t xml:space="preserve"> </w:t>
      </w:r>
      <w:r>
        <w:t xml:space="preserve">marital or parental status, sexual orientation, transgender status,</w:t>
      </w:r>
      <w:r>
        <w:t xml:space="preserve"> </w:t>
      </w:r>
      <w:r>
        <w:t xml:space="preserve">veteran status, or any other protected status.</w:t>
      </w:r>
    </w:p>
    <w:p>
      <w:pPr>
        <w:pStyle w:val="Heading3"/>
      </w:pPr>
      <w:bookmarkStart w:id="70" w:name="X38c17fa97b48f07b6f1e00c3b9037ec7a7742f9"/>
      <w:r>
        <w:t xml:space="preserve">b. Submission of Relevant Documentation and Dates for Filing a Grievance</w:t>
      </w:r>
      <w:bookmarkEnd w:id="70"/>
    </w:p>
    <w:p>
      <w:pPr>
        <w:pStyle w:val="FirstParagraph"/>
      </w:pPr>
      <w:r>
        <w:t xml:space="preserve">When a grievance on any one or more of these grounds is submitted, the</w:t>
      </w:r>
      <w:r>
        <w:t xml:space="preserve"> </w:t>
      </w:r>
      <w:r>
        <w:t xml:space="preserve">grievant shall present all factual or other data that they deem</w:t>
      </w:r>
      <w:r>
        <w:t xml:space="preserve"> </w:t>
      </w:r>
      <w:r>
        <w:t xml:space="preserve">pertinent to the case, as well as all the relevant documentation</w:t>
      </w:r>
      <w:r>
        <w:t xml:space="preserve"> </w:t>
      </w:r>
      <w:r>
        <w:t xml:space="preserve">available to them.</w:t>
      </w:r>
    </w:p>
    <w:p>
      <w:pPr>
        <w:pStyle w:val="BodyText"/>
      </w:pPr>
      <w:r>
        <w:t xml:space="preserve">For grievances arising from non-renewal of a probationary appointment</w:t>
      </w:r>
      <w:r>
        <w:t xml:space="preserve"> </w:t>
      </w:r>
      <w:r>
        <w:t xml:space="preserve">(see</w:t>
      </w:r>
      <w:r>
        <w:t xml:space="preserve"> </w:t>
      </w:r>
      <w:hyperlink r:id="rId71">
        <w:r>
          <w:rPr>
            <w:rStyle w:val="Hyperlink"/>
          </w:rPr>
          <w:t xml:space="preserve">Chapter Two: Academic Appointments, 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3.a.iii</w:t>
        </w:r>
      </w:hyperlink>
      <w:r>
        <w:t xml:space="preserve">) or from nonrenewal</w:t>
      </w:r>
      <w:r>
        <w:t xml:space="preserve"> </w:t>
      </w:r>
      <w:r>
        <w:t xml:space="preserve">or termination of appointments of secured nontenure-track faculty</w:t>
      </w:r>
      <w:r>
        <w:t xml:space="preserve"> </w:t>
      </w:r>
      <w:r>
        <w:t xml:space="preserve">members on 3-year and 5-(or more)-year contracts (see Chapter Two:</w:t>
      </w:r>
      <w:r>
        <w:t xml:space="preserve"> </w:t>
      </w:r>
      <w:r>
        <w:t xml:space="preserve">Academic Appointments,</w:t>
      </w:r>
      <w:r>
        <w:t xml:space="preserve"> </w:t>
      </w:r>
      <w:hyperlink r:id="rId72">
        <w:r>
          <w:rPr>
            <w:rStyle w:val="Hyperlink"/>
          </w:rPr>
          <w:t xml:space="preserve">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4.a.vi</w:t>
        </w:r>
      </w:hyperlink>
      <w:r>
        <w:t xml:space="preserve">,</w:t>
      </w:r>
      <w:r>
        <w:t xml:space="preserve"> </w:t>
      </w:r>
      <w:hyperlink r:id="rId73">
        <w:r>
          <w:rPr>
            <w:rStyle w:val="Hyperlink"/>
          </w:rPr>
          <w:t xml:space="preserve">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4.a.vii</w:t>
        </w:r>
      </w:hyperlink>
      <w:r>
        <w:t xml:space="preserve">,</w:t>
      </w:r>
      <w:r>
        <w:t xml:space="preserve"> </w:t>
      </w:r>
      <w:hyperlink r:id="rId74">
        <w:r>
          <w:rPr>
            <w:rStyle w:val="Hyperlink"/>
          </w:rPr>
          <w:t xml:space="preserve">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4.a.viii</w:t>
        </w:r>
      </w:hyperlink>
      <w:r>
        <w:t xml:space="preserve">,</w:t>
      </w:r>
      <w:r>
        <w:t xml:space="preserve"> </w:t>
      </w:r>
      <w:hyperlink r:id="rId75">
        <w:r>
          <w:rPr>
            <w:rStyle w:val="Hyperlink"/>
          </w:rPr>
          <w:t xml:space="preserve">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4.b.iv</w:t>
        </w:r>
      </w:hyperlink>
      <w:r>
        <w:t xml:space="preserve">,</w:t>
      </w:r>
      <w:r>
        <w:t xml:space="preserve"> </w:t>
      </w:r>
      <w:hyperlink r:id="rId76">
        <w:r>
          <w:rPr>
            <w:rStyle w:val="Hyperlink"/>
          </w:rPr>
          <w:t xml:space="preserve">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4.b.v</w:t>
        </w:r>
      </w:hyperlink>
      <w:r>
        <w:t xml:space="preserve">), the grievance must be</w:t>
      </w:r>
      <w:r>
        <w:t xml:space="preserve"> </w:t>
      </w:r>
      <w:r>
        <w:t xml:space="preserve">filed within ten business days after the applicable latest non-renewal</w:t>
      </w:r>
      <w:r>
        <w:t xml:space="preserve"> </w:t>
      </w:r>
      <w:r>
        <w:t xml:space="preserve">or termination notification date as stipulated in this Faculty</w:t>
      </w:r>
      <w:r>
        <w:t xml:space="preserve"> </w:t>
      </w:r>
      <w:r>
        <w:t xml:space="preserve">Handbook.</w:t>
      </w:r>
    </w:p>
    <w:p>
      <w:pPr>
        <w:pStyle w:val="BodyText"/>
      </w:pPr>
      <w:r>
        <w:t xml:space="preserve">For grievances arising from a negative tenure or promotion decision,</w:t>
      </w:r>
      <w:r>
        <w:t xml:space="preserve"> </w:t>
      </w:r>
      <w:r>
        <w:t xml:space="preserve">the grievance must be filed within ten business days after that</w:t>
      </w:r>
      <w:r>
        <w:t xml:space="preserve"> </w:t>
      </w:r>
      <w:r>
        <w:t xml:space="preserve">meeting of the Board of Trustees (usually February) at which the</w:t>
      </w:r>
      <w:r>
        <w:t xml:space="preserve"> </w:t>
      </w:r>
      <w:r>
        <w:t xml:space="preserve">Provost and President present their tenure and promotion decisions for</w:t>
      </w:r>
      <w:r>
        <w:t xml:space="preserve"> </w:t>
      </w:r>
      <w:r>
        <w:t xml:space="preserve">Board approval, or ten days after the tenure or promotion candidate is</w:t>
      </w:r>
      <w:r>
        <w:t xml:space="preserve"> </w:t>
      </w:r>
      <w:r>
        <w:t xml:space="preserve">notified by the Provost of the negative decision, whichever is later.</w:t>
      </w:r>
    </w:p>
    <w:p>
      <w:pPr>
        <w:pStyle w:val="Heading3"/>
      </w:pPr>
      <w:bookmarkStart w:id="77" w:name="X59372894d298b30927ef6713e9b872c4c280e73"/>
      <w:r>
        <w:t xml:space="preserve">c. Formation of an FRC Subcommittee and Recusals</w:t>
      </w:r>
      <w:bookmarkEnd w:id="77"/>
    </w:p>
    <w:p>
      <w:pPr>
        <w:pStyle w:val="FirstParagraph"/>
      </w:pPr>
      <w:r>
        <w:t xml:space="preserve">When a matter regarding a faculty grievance comes before the FRC, a</w:t>
      </w:r>
      <w:r>
        <w:t xml:space="preserve"> </w:t>
      </w:r>
      <w:r>
        <w:t xml:space="preserve">subcommittee of three elected and two appointed members of the FRC are</w:t>
      </w:r>
      <w:r>
        <w:t xml:space="preserve"> </w:t>
      </w:r>
      <w:r>
        <w:t xml:space="preserve">selected by the Chair of FRC to review the grievance. The exercise of</w:t>
      </w:r>
      <w:r>
        <w:t xml:space="preserve"> </w:t>
      </w:r>
      <w:r>
        <w:t xml:space="preserve">the functions of the FRC requires the presence and participation of</w:t>
      </w:r>
      <w:r>
        <w:t xml:space="preserve"> </w:t>
      </w:r>
      <w:r>
        <w:t xml:space="preserve">all five members of the subcommittee as constituted for a particular</w:t>
      </w:r>
      <w:r>
        <w:t xml:space="preserve"> </w:t>
      </w:r>
      <w:r>
        <w:t xml:space="preserve">grievance.</w:t>
      </w:r>
    </w:p>
    <w:p>
      <w:pPr>
        <w:pStyle w:val="BodyText"/>
      </w:pPr>
      <w:r>
        <w:t xml:space="preserve">FRC members who have had a significant prior involvement with the</w:t>
      </w:r>
      <w:r>
        <w:t xml:space="preserve"> </w:t>
      </w:r>
      <w:r>
        <w:t xml:space="preserve">matter in question, or who have a personal relationship with any of</w:t>
      </w:r>
      <w:r>
        <w:t xml:space="preserve"> </w:t>
      </w:r>
      <w:r>
        <w:t xml:space="preserve">the parties directly involved in the matter, shall recuse themselves</w:t>
      </w:r>
      <w:r>
        <w:t xml:space="preserve"> </w:t>
      </w:r>
      <w:r>
        <w:t xml:space="preserve">from participating in the proceedings. Recusals may be requested by</w:t>
      </w:r>
      <w:r>
        <w:t xml:space="preserve"> </w:t>
      </w:r>
      <w:r>
        <w:t xml:space="preserve">FRC members, the grievant, or other parties in the action, such as the</w:t>
      </w:r>
      <w:r>
        <w:t xml:space="preserve"> </w:t>
      </w:r>
      <w:r>
        <w:t xml:space="preserve">Provost or the Chair of CTAF or COAP. Additional recusals necessary</w:t>
      </w:r>
      <w:r>
        <w:t xml:space="preserve"> </w:t>
      </w:r>
      <w:r>
        <w:t xml:space="preserve">to create the subcommittee with three elected and two appointed</w:t>
      </w:r>
      <w:r>
        <w:t xml:space="preserve"> </w:t>
      </w:r>
      <w:r>
        <w:t xml:space="preserve">members will be arranged by the Chair of FRC such that recusals are</w:t>
      </w:r>
      <w:r>
        <w:t xml:space="preserve"> </w:t>
      </w:r>
      <w:r>
        <w:t xml:space="preserve">distributed evenly over the FRC membership.</w:t>
      </w:r>
    </w:p>
    <w:p>
      <w:pPr>
        <w:pStyle w:val="Heading3"/>
      </w:pPr>
      <w:bookmarkStart w:id="78" w:name="Xfc4b50e4ee82e19c71592b0bbcdc11233282f7a"/>
      <w:r>
        <w:t xml:space="preserve">d. Investigation of the Grievance and Access to Relevant Documentation</w:t>
      </w:r>
      <w:bookmarkEnd w:id="78"/>
    </w:p>
    <w:p>
      <w:pPr>
        <w:pStyle w:val="FirstParagraph"/>
      </w:pPr>
      <w:r>
        <w:t xml:space="preserve">When a grievance is submitted, the FRC subcommittee shall first decide</w:t>
      </w:r>
      <w:r>
        <w:t xml:space="preserve"> </w:t>
      </w:r>
      <w:r>
        <w:t xml:space="preserve">whether the allegations and the evidence submitted by the grievant</w:t>
      </w:r>
      <w:r>
        <w:t xml:space="preserve"> </w:t>
      </w:r>
      <w:r>
        <w:t xml:space="preserve">merit detailed consideration of the matter, and shall inform the</w:t>
      </w:r>
      <w:r>
        <w:t xml:space="preserve"> </w:t>
      </w:r>
      <w:r>
        <w:t xml:space="preserve">grievant and the appropriate administrator(s) promptly of this</w:t>
      </w:r>
      <w:r>
        <w:t xml:space="preserve"> </w:t>
      </w:r>
      <w:r>
        <w:t xml:space="preserve">decision.</w:t>
      </w:r>
    </w:p>
    <w:p>
      <w:pPr>
        <w:pStyle w:val="BodyText"/>
      </w:pPr>
      <w:r>
        <w:t xml:space="preserve">If the FRC subcommittee decides that detailed consideration of a</w:t>
      </w:r>
      <w:r>
        <w:t xml:space="preserve"> </w:t>
      </w:r>
      <w:r>
        <w:t xml:space="preserve">grievance is in order, it shall expeditiously investigate the matter</w:t>
      </w:r>
      <w:r>
        <w:t xml:space="preserve"> </w:t>
      </w:r>
      <w:r>
        <w:t xml:space="preserve">in the manner that it deems appropriate. If the subcommittee finds</w:t>
      </w:r>
      <w:r>
        <w:t xml:space="preserve"> </w:t>
      </w:r>
      <w:r>
        <w:t xml:space="preserve">that there are grounds for formal interviews, it shall conduct such</w:t>
      </w:r>
      <w:r>
        <w:t xml:space="preserve"> </w:t>
      </w:r>
      <w:r>
        <w:t xml:space="preserve">interviews under confidentiality safeguards identical to those</w:t>
      </w:r>
      <w:r>
        <w:t xml:space="preserve"> </w:t>
      </w:r>
      <w:r>
        <w:t xml:space="preserve">practiced by the Faculty Committee on Tenure and Academic Freedom</w:t>
      </w:r>
      <w:r>
        <w:t xml:space="preserve"> </w:t>
      </w:r>
      <w:r>
        <w:t xml:space="preserve">(CTAF) or the Committee on Appointments and Promotions (COAP). Only</w:t>
      </w:r>
      <w:r>
        <w:t xml:space="preserve"> </w:t>
      </w:r>
      <w:r>
        <w:t xml:space="preserve">WPI personnel may participate in such interviews.</w:t>
      </w:r>
    </w:p>
    <w:p>
      <w:pPr>
        <w:pStyle w:val="BodyText"/>
      </w:pPr>
      <w:r>
        <w:t xml:space="preserve">At all stages of considering the grievance, the FRC subcommittee shall</w:t>
      </w:r>
      <w:r>
        <w:t xml:space="preserve"> </w:t>
      </w:r>
      <w:r>
        <w:t xml:space="preserve">have access to all the relevant documentation under the control of the</w:t>
      </w:r>
      <w:r>
        <w:t xml:space="preserve"> </w:t>
      </w:r>
      <w:r>
        <w:t xml:space="preserve">University in the same manner and to the same extent as had the</w:t>
      </w:r>
      <w:r>
        <w:t xml:space="preserve"> </w:t>
      </w:r>
      <w:r>
        <w:t xml:space="preserve">administrators and committees or other faculty bodies that</w:t>
      </w:r>
      <w:r>
        <w:t xml:space="preserve"> </w:t>
      </w:r>
      <w:r>
        <w:t xml:space="preserve">participated in the decisions or recommendations to which the</w:t>
      </w:r>
      <w:r>
        <w:t xml:space="preserve"> </w:t>
      </w:r>
      <w:r>
        <w:t xml:space="preserve">grievance refers, and with the same obligation of confidentiality that</w:t>
      </w:r>
      <w:r>
        <w:t xml:space="preserve"> </w:t>
      </w:r>
      <w:r>
        <w:t xml:space="preserve">these administrators, committees or bodies were under with regard to</w:t>
      </w:r>
      <w:r>
        <w:t xml:space="preserve"> </w:t>
      </w:r>
      <w:r>
        <w:t xml:space="preserve">any particular document. The body of documents and files available to</w:t>
      </w:r>
      <w:r>
        <w:t xml:space="preserve"> </w:t>
      </w:r>
      <w:r>
        <w:t xml:space="preserve">the FRC must be identical, without addition, deletion, or</w:t>
      </w:r>
      <w:r>
        <w:t xml:space="preserve"> </w:t>
      </w:r>
      <w:r>
        <w:t xml:space="preserve">embellishment, to that available to those participants.</w:t>
      </w:r>
    </w:p>
    <w:p>
      <w:pPr>
        <w:pStyle w:val="BodyText"/>
      </w:pPr>
      <w:r>
        <w:t xml:space="preserve">In carrying out its investigation, the FRC subcommittee may appoint ad</w:t>
      </w:r>
      <w:r>
        <w:t xml:space="preserve"> </w:t>
      </w:r>
      <w:r>
        <w:t xml:space="preserve">hoc committees of investigation, reporting to it, and consisting of</w:t>
      </w:r>
      <w:r>
        <w:t xml:space="preserve"> </w:t>
      </w:r>
      <w:r>
        <w:t xml:space="preserve">faculty members with tenure who may, but need not, be members of the</w:t>
      </w:r>
      <w:r>
        <w:t xml:space="preserve"> </w:t>
      </w:r>
      <w:r>
        <w:t xml:space="preserve">FRC. The FRC shall be free to discuss the grievance with the Provost</w:t>
      </w:r>
      <w:r>
        <w:t xml:space="preserve"> </w:t>
      </w:r>
      <w:r>
        <w:t xml:space="preserve">and the President.</w:t>
      </w:r>
    </w:p>
    <w:p>
      <w:pPr>
        <w:pStyle w:val="BodyText"/>
      </w:pPr>
      <w:r>
        <w:t xml:space="preserve">The FRC through its subcommittee for each case is charged with</w:t>
      </w:r>
      <w:r>
        <w:t xml:space="preserve"> </w:t>
      </w:r>
      <w:r>
        <w:t xml:space="preserve">reviewing a grievance in a prompt and timely manner, with the intent</w:t>
      </w:r>
      <w:r>
        <w:t xml:space="preserve"> </w:t>
      </w:r>
      <w:r>
        <w:t xml:space="preserve">that it will issue its report prior to the close of the academic year</w:t>
      </w:r>
      <w:r>
        <w:t xml:space="preserve"> </w:t>
      </w:r>
      <w:r>
        <w:t xml:space="preserve">in which the filing was made. Should a grievance be pending at the</w:t>
      </w:r>
      <w:r>
        <w:t xml:space="preserve"> </w:t>
      </w:r>
      <w:r>
        <w:t xml:space="preserve">close of the academic year, its resolution will continue to be the</w:t>
      </w:r>
      <w:r>
        <w:t xml:space="preserve"> </w:t>
      </w:r>
      <w:r>
        <w:t xml:space="preserve">responsibility of the original reviewing subcommittee, notwithstanding</w:t>
      </w:r>
      <w:r>
        <w:t xml:space="preserve"> </w:t>
      </w:r>
      <w:r>
        <w:t xml:space="preserve">the election of a new committee (see</w:t>
      </w:r>
      <w:r>
        <w:t xml:space="preserve"> </w:t>
      </w:r>
      <w:hyperlink r:id="rId79">
        <w:r>
          <w:rPr>
            <w:rStyle w:val="Hyperlink"/>
          </w:rPr>
          <w:t xml:space="preserve">Chapter One: Governance, Bylaw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Three, Section IX</w:t>
        </w:r>
      </w:hyperlink>
      <w:r>
        <w:t xml:space="preserve">).</w:t>
      </w:r>
    </w:p>
    <w:p>
      <w:pPr>
        <w:pStyle w:val="BodyText"/>
      </w:pPr>
      <w:r>
        <w:t xml:space="preserve">Allegations of Improper Procedure: In determining whether a decision</w:t>
      </w:r>
      <w:r>
        <w:t xml:space="preserve"> </w:t>
      </w:r>
      <w:r>
        <w:t xml:space="preserve">or recommendation that is the subject of a grievance was affected by</w:t>
      </w:r>
      <w:r>
        <w:t xml:space="preserve"> </w:t>
      </w:r>
      <w:r>
        <w:t xml:space="preserve">improper procedure, the FRC may examine whether the decision or</w:t>
      </w:r>
      <w:r>
        <w:t xml:space="preserve"> </w:t>
      </w:r>
      <w:r>
        <w:t xml:space="preserve">recommendation by an administrator, committee, or other faculty body</w:t>
      </w:r>
      <w:r>
        <w:t xml:space="preserve"> </w:t>
      </w:r>
      <w:r>
        <w:t xml:space="preserve">was the result of adequate consideration in terms of the relevant</w:t>
      </w:r>
      <w:r>
        <w:t xml:space="preserve"> </w:t>
      </w:r>
      <w:r>
        <w:t xml:space="preserve">standards of the WPI. In no case shall the FRC substitute its</w:t>
      </w:r>
      <w:r>
        <w:t xml:space="preserve"> </w:t>
      </w:r>
      <w:r>
        <w:t xml:space="preserve">judgment for that of the maker(s) of the original decision or</w:t>
      </w:r>
      <w:r>
        <w:t xml:space="preserve"> </w:t>
      </w:r>
      <w:r>
        <w:t xml:space="preserve">recommendation.</w:t>
      </w:r>
    </w:p>
    <w:p>
      <w:pPr>
        <w:pStyle w:val="Heading3"/>
      </w:pPr>
      <w:bookmarkStart w:id="80" w:name="X31c0cecba9a9ad0fdc0f914f9775d1db727efed"/>
      <w:r>
        <w:t xml:space="preserve">e. Resolution of the Grievance, Required Actions, and Final Appeals</w:t>
      </w:r>
      <w:bookmarkEnd w:id="80"/>
    </w:p>
    <w:p>
      <w:pPr>
        <w:pStyle w:val="FirstParagraph"/>
      </w:pPr>
      <w:r>
        <w:t xml:space="preserve">If the FRC subcommittee concludes, after detailed consideration of a</w:t>
      </w:r>
      <w:r>
        <w:t xml:space="preserve"> </w:t>
      </w:r>
      <w:r>
        <w:t xml:space="preserve">grievance, that the allegations in it have been established in full or</w:t>
      </w:r>
      <w:r>
        <w:t xml:space="preserve"> </w:t>
      </w:r>
      <w:r>
        <w:t xml:space="preserve">in part and that the aggrieved matters have affected the decision or</w:t>
      </w:r>
      <w:r>
        <w:t xml:space="preserve"> </w:t>
      </w:r>
      <w:r>
        <w:t xml:space="preserve">recommendation at issue, then the subcommittee has the power to</w:t>
      </w:r>
      <w:r>
        <w:t xml:space="preserve"> </w:t>
      </w:r>
      <w:r>
        <w:t xml:space="preserve">require of the maker(s) of the decision or the maker(s) of the</w:t>
      </w:r>
      <w:r>
        <w:t xml:space="preserve"> </w:t>
      </w:r>
      <w:r>
        <w:t xml:space="preserve">recommendation that they reconsider this decision or recommendation to</w:t>
      </w:r>
      <w:r>
        <w:t xml:space="preserve"> </w:t>
      </w:r>
      <w:r>
        <w:t xml:space="preserve">the extent that it is affected by the established allegations. The</w:t>
      </w:r>
      <w:r>
        <w:t xml:space="preserve"> </w:t>
      </w:r>
      <w:r>
        <w:t xml:space="preserve">conclusion of the Committee, its recommendations, the basis for those</w:t>
      </w:r>
      <w:r>
        <w:t xml:space="preserve"> </w:t>
      </w:r>
      <w:r>
        <w:t xml:space="preserve">recommendations, and, if appropriate, requests for reconsideration</w:t>
      </w:r>
      <w:r>
        <w:t xml:space="preserve"> </w:t>
      </w:r>
      <w:r>
        <w:t xml:space="preserve">shall be recorded in a report, and this report shall be provided to</w:t>
      </w:r>
      <w:r>
        <w:t xml:space="preserve"> </w:t>
      </w:r>
      <w:r>
        <w:t xml:space="preserve">the grievant, the maker(s) of the questioned decision or</w:t>
      </w:r>
      <w:r>
        <w:t xml:space="preserve"> </w:t>
      </w:r>
      <w:r>
        <w:t xml:space="preserve">recommendation, and the President. The outcome of a reconsideration</w:t>
      </w:r>
      <w:r>
        <w:t xml:space="preserve"> </w:t>
      </w:r>
      <w:r>
        <w:t xml:space="preserve">required by the FRC subcommittee shall be promptly reported to the FRC</w:t>
      </w:r>
      <w:r>
        <w:t xml:space="preserve"> </w:t>
      </w:r>
      <w:r>
        <w:t xml:space="preserve">subcommittee.</w:t>
      </w:r>
    </w:p>
    <w:p>
      <w:pPr>
        <w:pStyle w:val="BodyText"/>
      </w:pPr>
      <w:r>
        <w:t xml:space="preserve">The filing of a grievance or the granting of a reconsideration as an</w:t>
      </w:r>
      <w:r>
        <w:t xml:space="preserve"> </w:t>
      </w:r>
      <w:r>
        <w:t xml:space="preserve">outcome of that filing in no way extends the period of employment</w:t>
      </w:r>
      <w:r>
        <w:t xml:space="preserve"> </w:t>
      </w:r>
      <w:r>
        <w:t xml:space="preserve">beyond that which would apply if no grievance were filed, nor do</w:t>
      </w:r>
      <w:r>
        <w:t xml:space="preserve"> </w:t>
      </w:r>
      <w:r>
        <w:t xml:space="preserve">filing and reconsideration in any way entitle the grievant to</w:t>
      </w:r>
      <w:r>
        <w:t xml:space="preserve"> </w:t>
      </w:r>
      <w:r>
        <w:t xml:space="preserve">automatic tenure through AAUP rules.</w:t>
      </w:r>
    </w:p>
    <w:p>
      <w:pPr>
        <w:pStyle w:val="BodyText"/>
      </w:pPr>
      <w:r>
        <w:rPr>
          <w:i/>
        </w:rPr>
        <w:t xml:space="preserve">Reconsideration of Tenure or Promotion Cases:</w:t>
      </w:r>
      <w:r>
        <w:t xml:space="preserve"> </w:t>
      </w:r>
      <w:r>
        <w:t xml:space="preserve">In the event that, for</w:t>
      </w:r>
      <w:r>
        <w:t xml:space="preserve"> </w:t>
      </w:r>
      <w:r>
        <w:t xml:space="preserve">a tenure candidate, the Joint Tenure Committee, or, for a promotion</w:t>
      </w:r>
      <w:r>
        <w:t xml:space="preserve"> </w:t>
      </w:r>
      <w:r>
        <w:t xml:space="preserve">candidate, the Joint Promotion Committee, conducts a reconsideration</w:t>
      </w:r>
      <w:r>
        <w:t xml:space="preserve"> </w:t>
      </w:r>
      <w:r>
        <w:t xml:space="preserve">of a case, it shall use only the body of documents available during</w:t>
      </w:r>
      <w:r>
        <w:t xml:space="preserve"> </w:t>
      </w:r>
      <w:r>
        <w:t xml:space="preserve">the first hearing of the case, without addition, deletion, or</w:t>
      </w:r>
      <w:r>
        <w:t xml:space="preserve"> </w:t>
      </w:r>
      <w:r>
        <w:t xml:space="preserve">embellishment, except for the FRC subcommittee report on the case and</w:t>
      </w:r>
      <w:r>
        <w:t xml:space="preserve"> </w:t>
      </w:r>
      <w:r>
        <w:t xml:space="preserve">any other information the Joint Tenure or Promotion Committee wishes</w:t>
      </w:r>
      <w:r>
        <w:t xml:space="preserve"> </w:t>
      </w:r>
      <w:r>
        <w:t xml:space="preserve">to obtain using its normal procedures, provided such additional</w:t>
      </w:r>
      <w:r>
        <w:t xml:space="preserve"> </w:t>
      </w:r>
      <w:r>
        <w:t xml:space="preserve">information pertains directly to issues raised in the FRC subcommittee</w:t>
      </w:r>
      <w:r>
        <w:t xml:space="preserve"> </w:t>
      </w:r>
      <w:r>
        <w:t xml:space="preserve">report.</w:t>
      </w:r>
    </w:p>
    <w:p>
      <w:pPr>
        <w:pStyle w:val="BodyText"/>
      </w:pPr>
      <w:r>
        <w:rPr>
          <w:i/>
        </w:rPr>
        <w:t xml:space="preserve">Final Appeals:</w:t>
      </w:r>
      <w:r>
        <w:t xml:space="preserve"> </w:t>
      </w:r>
      <w:r>
        <w:t xml:space="preserve">If the reconsideration(s) required by the FRC</w:t>
      </w:r>
      <w:r>
        <w:t xml:space="preserve"> </w:t>
      </w:r>
      <w:r>
        <w:t xml:space="preserve">subcommittee lead to the same negative decision as that which</w:t>
      </w:r>
      <w:r>
        <w:t xml:space="preserve"> </w:t>
      </w:r>
      <w:r>
        <w:t xml:space="preserve">generated the grievance, the grievant may make a final appeal to the</w:t>
      </w:r>
      <w:r>
        <w:t xml:space="preserve"> </w:t>
      </w:r>
      <w:r>
        <w:t xml:space="preserve">President, who may reverse or uphold the decision.</w:t>
      </w:r>
    </w:p>
    <w:sectPr w:rsidR="0029254A">
      <w:headerReference w:type="even" r:id="rId11"/>
      <w:headerReference w:type="default" r:id="rId10"/>
      <w:footerReference w:type="even" r:id="rId13"/>
      <w:footerReference w:type="default" r:id="rId12"/>
      <w:headerReference w:type="first" r:id="rId9"/>
      <w:footerReference w:type="first" r:id="rId14"/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E1044" w14:textId="77777777" w:rsidR="00140699" w:rsidRDefault="001406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E7A49" w14:textId="77777777" w:rsidR="00140699" w:rsidRPr="00140699" w:rsidRDefault="00140699">
    <w:pPr>
      <w:pStyle w:val="Footer"/>
      <w:tabs>
        <w:tab w:val="clear" w:pos="4680"/>
        <w:tab w:val="clear" w:pos="9360"/>
      </w:tabs>
      <w:jc w:val="center"/>
      <w:rPr>
        <w:caps/>
        <w:noProof/>
        <w:color w:val="C00000"/>
      </w:rPr>
    </w:pPr>
    <w:r w:rsidRPr="00140699">
      <w:rPr>
        <w:caps/>
        <w:color w:val="C00000"/>
      </w:rPr>
      <w:fldChar w:fldCharType="begin"/>
    </w:r>
    <w:r w:rsidRPr="00140699">
      <w:rPr>
        <w:caps/>
        <w:color w:val="C00000"/>
      </w:rPr>
      <w:instrText xml:space="preserve"> PAGE   \* MERGEFORMAT </w:instrText>
    </w:r>
    <w:r w:rsidRPr="00140699">
      <w:rPr>
        <w:caps/>
        <w:color w:val="C00000"/>
      </w:rPr>
      <w:fldChar w:fldCharType="separate"/>
    </w:r>
    <w:r w:rsidRPr="00140699">
      <w:rPr>
        <w:caps/>
        <w:noProof/>
        <w:color w:val="C00000"/>
      </w:rPr>
      <w:t>2</w:t>
    </w:r>
    <w:r w:rsidRPr="00140699">
      <w:rPr>
        <w:caps/>
        <w:noProof/>
        <w:color w:val="C00000"/>
      </w:rPr>
      <w:fldChar w:fldCharType="end"/>
    </w:r>
  </w:p>
  <w:p w14:paraId="06718001" w14:textId="77777777" w:rsidR="00140699" w:rsidRDefault="001406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FDC80" w14:textId="77777777" w:rsidR="00140699" w:rsidRDefault="00140699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FF34" w14:textId="77777777" w:rsidR="00140699" w:rsidRDefault="001406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A4034" w14:textId="77777777" w:rsidR="00140699" w:rsidRDefault="001406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899DD" w14:textId="77777777" w:rsidR="00140699" w:rsidRDefault="001406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CD2DE"/>
    <w:multiLevelType w:val="multilevel"/>
    <w:tmpl w:val="E1622B7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721">
    <w:nsid w:val="ea454b4c"/>
    <w:multiLevelType w:val="multilevel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Letter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711">
    <w:nsid w:val="71315dca"/>
    <w:multiLevelType w:val="multilevel"/>
    <w:lvl w:ilvl="0">
      <w:start w:val="1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511">
    <w:nsid w:val="47261bad"/>
    <w:multiLevelType w:val="multilevel"/>
    <w:lvl w:ilvl="0">
      <w:start w:val="1"/>
      <w:numFmt w:val="low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Roman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" w16cid:durableId="2106221618">
    <w:abstractNumId w:val="0"/>
  </w:num>
  <w:num w:numId="1000">
    <w:abstractNumId w:val="990"/>
  </w:num>
  <w:num w:numId="1001">
    <w:abstractNumId w:val="997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5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5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toc 1" w:uiPriority="39"/>
    <w:lsdException w:name="toc 2" w:uiPriority="39"/>
    <w:lsdException w:name="toc 3" w:uiPriority="39"/>
    <w:lsdException w:name="footer" w:uiPriority="99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rsid w:val="0095145B"/>
    <w:pPr>
      <w:keepNext/>
      <w:keepLines/>
      <w:spacing w:before="480" w:after="0"/>
      <w:outlineLvl w:val="0"/>
    </w:pPr>
    <w:rPr>
      <w:rFonts w:ascii="Aptos" w:eastAsiaTheme="majorEastAsia" w:hAnsi="Aptos" w:cstheme="majorBidi"/>
      <w:color w:val="C00000"/>
      <w:sz w:val="40"/>
      <w:szCs w:val="40"/>
    </w:rPr>
  </w:style>
  <w:style w:type="paragraph" w:styleId="Heading2">
    <w:name w:val="heading 2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1"/>
    </w:pPr>
    <w:rPr>
      <w:rFonts w:ascii="Aptos" w:eastAsiaTheme="majorEastAsia" w:hAnsi="Aptos" w:cstheme="majorBidi"/>
      <w:color w:val="C00000"/>
      <w:sz w:val="36"/>
      <w:szCs w:val="36"/>
    </w:rPr>
  </w:style>
  <w:style w:type="paragraph" w:styleId="Heading3">
    <w:name w:val="heading 3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2"/>
    </w:pPr>
    <w:rPr>
      <w:rFonts w:ascii="Aptos" w:eastAsiaTheme="majorEastAsia" w:hAnsi="Aptos" w:cstheme="majorBidi"/>
      <w:color w:val="C00000"/>
      <w:sz w:val="32"/>
      <w:szCs w:val="32"/>
    </w:rPr>
  </w:style>
  <w:style w:type="paragraph" w:styleId="Heading4">
    <w:name w:val="heading 4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3"/>
    </w:pPr>
    <w:rPr>
      <w:rFonts w:ascii="Aptos" w:eastAsiaTheme="majorEastAsia" w:hAnsi="Aptos" w:cstheme="majorBidi"/>
      <w:iCs/>
      <w:color w:val="C00000"/>
      <w:sz w:val="28"/>
      <w:szCs w:val="28"/>
    </w:rPr>
  </w:style>
  <w:style w:type="paragraph" w:styleId="Heading5">
    <w:name w:val="heading 5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4"/>
    </w:pPr>
    <w:rPr>
      <w:rFonts w:ascii="Aptos" w:eastAsiaTheme="majorEastAsia" w:hAnsi="Aptos" w:cstheme="majorBidi"/>
      <w:iCs/>
      <w:color w:val="C00000"/>
    </w:rPr>
  </w:style>
  <w:style w:type="paragraph" w:styleId="Heading6">
    <w:name w:val="heading 6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5"/>
    </w:pPr>
    <w:rPr>
      <w:rFonts w:ascii="Aptos" w:eastAsiaTheme="majorEastAsia" w:hAnsi="Aptos" w:cstheme="majorBidi"/>
      <w:color w:val="C00000"/>
      <w:sz w:val="20"/>
      <w:szCs w:val="20"/>
    </w:rPr>
  </w:style>
  <w:style w:type="paragraph" w:styleId="Heading7">
    <w:name w:val="heading 7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6"/>
    </w:pPr>
    <w:rPr>
      <w:rFonts w:ascii="Aptos" w:eastAsiaTheme="majorEastAsia" w:hAnsi="Aptos" w:cstheme="majorBidi"/>
      <w:color w:val="C00000"/>
      <w:sz w:val="22"/>
      <w:szCs w:val="22"/>
    </w:rPr>
  </w:style>
  <w:style w:type="paragraph" w:styleId="Heading8">
    <w:name w:val="heading 8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7"/>
    </w:pPr>
    <w:rPr>
      <w:rFonts w:ascii="Aptos" w:eastAsiaTheme="majorEastAsia" w:hAnsi="Aptos" w:cstheme="majorBidi"/>
      <w:color w:val="C00000"/>
      <w:sz w:val="22"/>
      <w:szCs w:val="22"/>
    </w:rPr>
  </w:style>
  <w:style w:type="paragraph" w:styleId="Heading9">
    <w:name w:val="heading 9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8"/>
    </w:pPr>
    <w:rPr>
      <w:rFonts w:ascii="Aptos" w:eastAsiaTheme="majorEastAsia" w:hAnsi="Aptos" w:cstheme="majorBidi"/>
      <w:color w:val="C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rsid w:val="0095145B"/>
    <w:pPr>
      <w:keepNext/>
      <w:keepLines/>
      <w:spacing w:before="480" w:after="240"/>
    </w:pPr>
    <w:rPr>
      <w:rFonts w:ascii="Aptos" w:eastAsiaTheme="majorEastAsia" w:hAnsi="Aptos" w:cstheme="majorBidi"/>
      <w:color w:val="C00000"/>
      <w:sz w:val="56"/>
      <w:szCs w:val="56"/>
    </w:rPr>
  </w:style>
  <w:style w:type="paragraph" w:styleId="Subtitle">
    <w:name w:val="Subtitle"/>
    <w:basedOn w:val="Title"/>
    <w:next w:val="BodyText"/>
    <w:qFormat/>
    <w:rsid w:val="0095145B"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rsid w:val="0095145B"/>
    <w:pPr>
      <w:keepNext/>
      <w:keepLines/>
    </w:pPr>
  </w:style>
  <w:style w:type="paragraph" w:styleId="Date">
    <w:name w:val="Date"/>
    <w:next w:val="BodyText"/>
    <w:qFormat/>
    <w:rsid w:val="0095145B"/>
    <w:pPr>
      <w:keepNext/>
      <w:keepLines/>
    </w:pPr>
    <w:rPr>
      <w:rFonts w:ascii="Aptos" w:hAnsi="Aptos"/>
    </w:rPr>
  </w:style>
  <w:style w:type="paragraph" w:customStyle="1" w:styleId="Abstract">
    <w:name w:val="Abstract"/>
    <w:basedOn w:val="Normal"/>
    <w:next w:val="BodyText"/>
    <w:qFormat/>
    <w:rsid w:val="0095145B"/>
    <w:pPr>
      <w:keepNext/>
      <w:keepLines/>
      <w:spacing w:before="300" w:after="300"/>
    </w:pPr>
    <w:rPr>
      <w:rFonts w:ascii="Aptos" w:hAnsi="Aptos"/>
      <w:sz w:val="22"/>
      <w:szCs w:val="22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rPr>
      <w:rFonts w:ascii="Consolas" w:hAnsi="Consolas"/>
      <w:sz w:val="22"/>
    </w:rPr>
  </w:style>
  <w:style w:type="character" w:styleId="FootnoteReference">
    <w:name w:val="footnote reference"/>
    <w:basedOn w:val="CaptionChar"/>
    <w:rsid w:val="003B3BFC"/>
    <w:rPr>
      <w:rFonts w:ascii="Aptos" w:hAnsi="Aptos"/>
      <w:color w:val="C00000"/>
      <w:vertAlign w:val="superscript"/>
    </w:rPr>
  </w:style>
  <w:style w:type="character" w:styleId="Hyperlink">
    <w:name w:val="Hyperlink"/>
    <w:basedOn w:val="CaptionChar"/>
    <w:uiPriority w:val="99"/>
    <w:rsid w:val="003B3BFC"/>
    <w:rPr>
      <w:rFonts w:ascii="Aptos" w:hAnsi="Aptos"/>
      <w:color w:val="C00000"/>
    </w:rPr>
  </w:style>
  <w:style w:type="paragraph" w:styleId="TOCHeading">
    <w:name w:val="TOC Heading"/>
    <w:basedOn w:val="Heading1"/>
    <w:next w:val="BodyText"/>
    <w:uiPriority w:val="39"/>
    <w:unhideWhenUsed/>
    <w:qFormat/>
    <w:rsid w:val="0095145B"/>
    <w:pPr>
      <w:spacing w:before="240" w:line="259" w:lineRule="auto"/>
      <w:outlineLvl w:val="9"/>
    </w:pPr>
    <w:rPr>
      <w:sz w:val="36"/>
      <w:szCs w:val="36"/>
    </w:rPr>
  </w:style>
  <w:style w:type="paragraph" w:styleId="TOC1">
    <w:name w:val="toc 1"/>
    <w:basedOn w:val="Normal"/>
    <w:next w:val="Normal"/>
    <w:autoRedefine/>
    <w:uiPriority w:val="39"/>
    <w:rsid w:val="0095145B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95145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95145B"/>
    <w:pPr>
      <w:spacing w:after="100"/>
      <w:ind w:left="480"/>
    </w:pPr>
  </w:style>
  <w:style w:type="paragraph" w:styleId="Header">
    <w:name w:val="header"/>
    <w:basedOn w:val="Normal"/>
    <w:link w:val="HeaderChar"/>
    <w:rsid w:val="001406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140699"/>
  </w:style>
  <w:style w:type="paragraph" w:styleId="Footer">
    <w:name w:val="footer"/>
    <w:basedOn w:val="Normal"/>
    <w:link w:val="FooterChar"/>
    <w:uiPriority w:val="99"/>
    <w:rsid w:val="001406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0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3.xml" /><Relationship Id="rId10" Type="http://schemas.openxmlformats.org/officeDocument/2006/relationships/header" Target="header2.xml" /><Relationship Id="rId11" Type="http://schemas.openxmlformats.org/officeDocument/2006/relationships/header" Target="header1.xml" /><Relationship Id="rId12" Type="http://schemas.openxmlformats.org/officeDocument/2006/relationships/footer" Target="footer2.xml" /><Relationship Id="rId13" Type="http://schemas.openxmlformats.org/officeDocument/2006/relationships/footer" Target="footer1.xml" /><Relationship Id="rId14" Type="http://schemas.openxmlformats.org/officeDocument/2006/relationships/footer" Target="footer3.xml" /><Relationship Type="http://schemas.openxmlformats.org/officeDocument/2006/relationships/hyperlink" Id="rId23" Target="chapter-1.html#chapter-1-section-2v" TargetMode="External" /><Relationship Type="http://schemas.openxmlformats.org/officeDocument/2006/relationships/hyperlink" Id="rId79" Target="chapter-1.html#frc" TargetMode="External" /><Relationship Type="http://schemas.openxmlformats.org/officeDocument/2006/relationships/hyperlink" Id="rId48" Target="chapter-10.html#policy-on-faculty-conduct" TargetMode="External" /><Relationship Type="http://schemas.openxmlformats.org/officeDocument/2006/relationships/hyperlink" Id="rId58" Target="chapter-2.html#chapter-2-section-3ai" TargetMode="External" /><Relationship Type="http://schemas.openxmlformats.org/officeDocument/2006/relationships/hyperlink" Id="rId71" Target="chapter-2.html#chapter-2-section-3aiii" TargetMode="External" /><Relationship Type="http://schemas.openxmlformats.org/officeDocument/2006/relationships/hyperlink" Id="rId72" Target="chapter-2.html#chapter-2-section-4avi" TargetMode="External" /><Relationship Type="http://schemas.openxmlformats.org/officeDocument/2006/relationships/hyperlink" Id="rId73" Target="chapter-2.html#chapter-2-section-4avii" TargetMode="External" /><Relationship Type="http://schemas.openxmlformats.org/officeDocument/2006/relationships/hyperlink" Id="rId74" Target="chapter-2.html#chapter-2-section-4aviii" TargetMode="External" /><Relationship Type="http://schemas.openxmlformats.org/officeDocument/2006/relationships/hyperlink" Id="rId75" Target="chapter-2.html#chapter-2-section-4biv" TargetMode="External" /><Relationship Type="http://schemas.openxmlformats.org/officeDocument/2006/relationships/hyperlink" Id="rId76" Target="chapter-2.html#chapter-2-section-4bv" TargetMode="External" /><Relationship Type="http://schemas.openxmlformats.org/officeDocument/2006/relationships/hyperlink" Id="rId59" Target="chapter-3.html#chapter-3-section-1" TargetMode="External" /><Relationship Type="http://schemas.openxmlformats.org/officeDocument/2006/relationships/hyperlink" Id="rId66" Target="chapter-5.html#chapter-5-section-1bi" TargetMode="External" /><Relationship Type="http://schemas.openxmlformats.org/officeDocument/2006/relationships/hyperlink" Id="rId27" Target="chapter-5.html#chapter-5-section-1bi2" TargetMode="External" /><Relationship Type="http://schemas.openxmlformats.org/officeDocument/2006/relationships/hyperlink" Id="rId40" Target="chapter-5.html#chapter-5-section-1bi5" TargetMode="External" /><Relationship Type="http://schemas.openxmlformats.org/officeDocument/2006/relationships/hyperlink" Id="rId33" Target="chapter-5.html#chapter-5-section-1bii" TargetMode="External" /><Relationship Type="http://schemas.openxmlformats.org/officeDocument/2006/relationships/hyperlink" Id="rId37" Target="chapter-5.html#chapter-5-section-1biii1" TargetMode="External" /><Relationship Type="http://schemas.openxmlformats.org/officeDocument/2006/relationships/hyperlink" Id="rId53" Target="chapter-5.html#chapter-5-section-1c" TargetMode="External" /><Relationship Type="http://schemas.openxmlformats.org/officeDocument/2006/relationships/hyperlink" Id="rId52" Target="chapter-5.html#chapter-5-section-1ci" TargetMode="External" /><Relationship Type="http://schemas.openxmlformats.org/officeDocument/2006/relationships/hyperlink" Id="rId60" Target="chapter-5.html#chapter-5-section-cvi1" TargetMode="External" /><Relationship Type="http://schemas.openxmlformats.org/officeDocument/2006/relationships/hyperlink" Id="rId61" Target="chapter-5.html#chapter-5-section-cvii" TargetMode="External" /><Relationship Type="http://schemas.openxmlformats.org/officeDocument/2006/relationships/hyperlink" Id="rId63" Target="chapter-5.html#chapter-section-1-appendix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chapter-1.html#chapter-1-section-2v" TargetMode="External" /><Relationship Type="http://schemas.openxmlformats.org/officeDocument/2006/relationships/hyperlink" Id="rId79" Target="chapter-1.html#frc" TargetMode="External" /><Relationship Type="http://schemas.openxmlformats.org/officeDocument/2006/relationships/hyperlink" Id="rId48" Target="chapter-10.html#policy-on-faculty-conduct" TargetMode="External" /><Relationship Type="http://schemas.openxmlformats.org/officeDocument/2006/relationships/hyperlink" Id="rId58" Target="chapter-2.html#chapter-2-section-3ai" TargetMode="External" /><Relationship Type="http://schemas.openxmlformats.org/officeDocument/2006/relationships/hyperlink" Id="rId71" Target="chapter-2.html#chapter-2-section-3aiii" TargetMode="External" /><Relationship Type="http://schemas.openxmlformats.org/officeDocument/2006/relationships/hyperlink" Id="rId72" Target="chapter-2.html#chapter-2-section-4avi" TargetMode="External" /><Relationship Type="http://schemas.openxmlformats.org/officeDocument/2006/relationships/hyperlink" Id="rId73" Target="chapter-2.html#chapter-2-section-4avii" TargetMode="External" /><Relationship Type="http://schemas.openxmlformats.org/officeDocument/2006/relationships/hyperlink" Id="rId74" Target="chapter-2.html#chapter-2-section-4aviii" TargetMode="External" /><Relationship Type="http://schemas.openxmlformats.org/officeDocument/2006/relationships/hyperlink" Id="rId75" Target="chapter-2.html#chapter-2-section-4biv" TargetMode="External" /><Relationship Type="http://schemas.openxmlformats.org/officeDocument/2006/relationships/hyperlink" Id="rId76" Target="chapter-2.html#chapter-2-section-4bv" TargetMode="External" /><Relationship Type="http://schemas.openxmlformats.org/officeDocument/2006/relationships/hyperlink" Id="rId59" Target="chapter-3.html#chapter-3-section-1" TargetMode="External" /><Relationship Type="http://schemas.openxmlformats.org/officeDocument/2006/relationships/hyperlink" Id="rId66" Target="chapter-5.html#chapter-5-section-1bi" TargetMode="External" /><Relationship Type="http://schemas.openxmlformats.org/officeDocument/2006/relationships/hyperlink" Id="rId27" Target="chapter-5.html#chapter-5-section-1bi2" TargetMode="External" /><Relationship Type="http://schemas.openxmlformats.org/officeDocument/2006/relationships/hyperlink" Id="rId40" Target="chapter-5.html#chapter-5-section-1bi5" TargetMode="External" /><Relationship Type="http://schemas.openxmlformats.org/officeDocument/2006/relationships/hyperlink" Id="rId33" Target="chapter-5.html#chapter-5-section-1bii" TargetMode="External" /><Relationship Type="http://schemas.openxmlformats.org/officeDocument/2006/relationships/hyperlink" Id="rId37" Target="chapter-5.html#chapter-5-section-1biii1" TargetMode="External" /><Relationship Type="http://schemas.openxmlformats.org/officeDocument/2006/relationships/hyperlink" Id="rId53" Target="chapter-5.html#chapter-5-section-1c" TargetMode="External" /><Relationship Type="http://schemas.openxmlformats.org/officeDocument/2006/relationships/hyperlink" Id="rId52" Target="chapter-5.html#chapter-5-section-1ci" TargetMode="External" /><Relationship Type="http://schemas.openxmlformats.org/officeDocument/2006/relationships/hyperlink" Id="rId60" Target="chapter-5.html#chapter-5-section-cvi1" TargetMode="External" /><Relationship Type="http://schemas.openxmlformats.org/officeDocument/2006/relationships/hyperlink" Id="rId61" Target="chapter-5.html#chapter-5-section-cvii" TargetMode="External" /><Relationship Type="http://schemas.openxmlformats.org/officeDocument/2006/relationships/hyperlink" Id="rId63" Target="chapter-5.html#chapter-section-1-appendi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WPI Faculty Handbook:  Chapter Five - Faculty Grievance Procedures</dc:title>
  <dc:creator/>
  <cp:keywords/>
  <dcterms:created xsi:type="dcterms:W3CDTF">2025-04-13T11:30:00Z</dcterms:created>
  <dcterms:modified xsi:type="dcterms:W3CDTF">2025-04-13T11:30:00Z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