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WPI</w:t>
      </w:r>
      <w:r>
        <w:t xml:space="preserve"> </w:t>
      </w:r>
      <w:r>
        <w:t xml:space="preserve">Faculty</w:t>
      </w:r>
      <w:r>
        <w:t xml:space="preserve"> </w:t>
      </w:r>
      <w:r>
        <w:t xml:space="preserve">Handbook:</w:t>
      </w:r>
      <w:r>
        <w:t xml:space="preserve"> </w:t>
      </w:r>
      <w:r>
        <w:t xml:space="preserve">Chapter</w:t>
      </w:r>
      <w:r>
        <w:t xml:space="preserve"> </w:t>
      </w:r>
      <w:r>
        <w:t xml:space="preserve">Eight</w:t>
      </w:r>
      <w:r>
        <w:t xml:space="preserve"> </w:t>
      </w:r>
      <w:r>
        <w:t xml:space="preserve">-</w:t>
      </w:r>
      <w:r>
        <w:t xml:space="preserve"> </w:t>
      </w:r>
      <w:r>
        <w:t xml:space="preserve">Certain</w:t>
      </w:r>
      <w:r>
        <w:t xml:space="preserve"> </w:t>
      </w:r>
      <w:r>
        <w:t xml:space="preserve">Policies</w:t>
      </w:r>
      <w:r>
        <w:t xml:space="preserve"> </w:t>
      </w:r>
      <w:r>
        <w:t xml:space="preserve">on</w:t>
      </w:r>
      <w:r>
        <w:t xml:space="preserve"> </w:t>
      </w:r>
      <w:r>
        <w:t xml:space="preserve">Faculty</w:t>
      </w:r>
      <w:r>
        <w:t xml:space="preserve"> </w:t>
      </w:r>
      <w:r>
        <w:t xml:space="preserve">Benefits</w:t>
      </w:r>
      <w:r>
        <w:t xml:space="preserve"> </w:t>
      </w:r>
      <w:r>
        <w:t xml:space="preserve">and</w:t>
      </w:r>
      <w:r>
        <w:t xml:space="preserve"> </w:t>
      </w:r>
      <w:r>
        <w:t xml:space="preserve">Opportunities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"1-5" \h \z \u</w:instrText>
            <w:fldChar w:fldCharType="separate"/>
            <w:fldChar w:fldCharType="end"/>
          </w:r>
        </w:p>
      </w:sdtContent>
    </w:sdt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Heading1"/>
      </w:pPr>
      <w:bookmarkStart w:id="20" w:name="chapter-8"/>
      <w:r>
        <w:t xml:space="preserve">Chapter Eight - Certain Policies on Faculty Benefits and Opportunities</w:t>
      </w:r>
      <w:bookmarkEnd w:id="20"/>
    </w:p>
    <w:p>
      <w:pPr>
        <w:pStyle w:val="Heading2"/>
      </w:pPr>
      <w:bookmarkStart w:id="21" w:name="i.-consulting-policy"/>
      <w:r>
        <w:t xml:space="preserve">I. Consulting Policy</w:t>
      </w:r>
      <w:bookmarkEnd w:id="21"/>
    </w:p>
    <w:p>
      <w:pPr>
        <w:pStyle w:val="FirstParagraph"/>
      </w:pPr>
      <w:r>
        <w:t xml:space="preserve">(Faculty Handbook,</w:t>
      </w:r>
      <w:r>
        <w:t xml:space="preserve"> </w:t>
      </w:r>
      <w:r>
        <w:rPr>
          <w:i/>
        </w:rPr>
        <w:t xml:space="preserve">1980</w:t>
      </w:r>
      <w:r>
        <w:t xml:space="preserve">)</w:t>
      </w:r>
    </w:p>
    <w:p>
      <w:pPr>
        <w:pStyle w:val="BodyText"/>
      </w:pPr>
      <w:r>
        <w:t xml:space="preserve">The University encourages members of the faculty to do consulting work</w:t>
      </w:r>
      <w:r>
        <w:t xml:space="preserve"> </w:t>
      </w:r>
      <w:r>
        <w:t xml:space="preserve">and, where appropriate, to expand consulting activities into on-campus</w:t>
      </w:r>
      <w:r>
        <w:t xml:space="preserve"> </w:t>
      </w:r>
      <w:r>
        <w:t xml:space="preserve">research programs.</w:t>
      </w:r>
    </w:p>
    <w:p>
      <w:pPr>
        <w:pStyle w:val="BodyText"/>
      </w:pPr>
      <w:r>
        <w:t xml:space="preserve">Participation as a consultant for extra compensation should be cleared</w:t>
      </w:r>
      <w:r>
        <w:t xml:space="preserve"> </w:t>
      </w:r>
      <w:r>
        <w:t xml:space="preserve">with the Department Head concerned, and while time is made available</w:t>
      </w:r>
      <w:r>
        <w:t xml:space="preserve"> </w:t>
      </w:r>
      <w:r>
        <w:t xml:space="preserve">for such participation, it must not substantially detract from</w:t>
      </w:r>
      <w:r>
        <w:t xml:space="preserve"> </w:t>
      </w:r>
      <w:r>
        <w:t xml:space="preserve">full-time salaried responsibilities to the University.</w:t>
      </w:r>
    </w:p>
    <w:p>
      <w:pPr>
        <w:pStyle w:val="BodyText"/>
      </w:pPr>
      <w:r>
        <w:t xml:space="preserve">Ordinarily, outside consulting work or participation in a</w:t>
      </w:r>
      <w:r>
        <w:t xml:space="preserve"> </w:t>
      </w:r>
      <w:r>
        <w:t xml:space="preserve">university-industry program for extra compensation should not exceed</w:t>
      </w:r>
      <w:r>
        <w:t xml:space="preserve"> </w:t>
      </w:r>
      <w:r>
        <w:t xml:space="preserve">the equivalent of one day per week. Participation in</w:t>
      </w:r>
      <w:r>
        <w:t xml:space="preserve"> </w:t>
      </w:r>
      <w:r>
        <w:t xml:space="preserve">industry-sponsored programs requiring the equivalent of more than one</w:t>
      </w:r>
      <w:r>
        <w:t xml:space="preserve"> </w:t>
      </w:r>
      <w:r>
        <w:t xml:space="preserve">day per week should be undertaken with released time from teaching</w:t>
      </w:r>
      <w:r>
        <w:t xml:space="preserve"> </w:t>
      </w:r>
      <w:r>
        <w:t xml:space="preserve">with no additional compensation beyond the "one day equivalent." Each</w:t>
      </w:r>
      <w:r>
        <w:t xml:space="preserve"> </w:t>
      </w:r>
      <w:r>
        <w:t xml:space="preserve">member of the faculty who undertakes consulting work or research is</w:t>
      </w:r>
      <w:r>
        <w:t xml:space="preserve"> </w:t>
      </w:r>
      <w:r>
        <w:t xml:space="preserve">encouraged to seek that kind of activity which will enhance his or her</w:t>
      </w:r>
      <w:r>
        <w:t xml:space="preserve"> </w:t>
      </w:r>
      <w:r>
        <w:t xml:space="preserve">long-range professional development.</w:t>
      </w:r>
    </w:p>
    <w:p>
      <w:pPr>
        <w:pStyle w:val="BodyText"/>
      </w:pPr>
      <w:r>
        <w:t xml:space="preserve">In work for industry, routine testing in competition with established</w:t>
      </w:r>
      <w:r>
        <w:t xml:space="preserve"> </w:t>
      </w:r>
      <w:r>
        <w:t xml:space="preserve">commercial testing laboratories is discouraged, unless no commercial</w:t>
      </w:r>
      <w:r>
        <w:t xml:space="preserve"> </w:t>
      </w:r>
      <w:r>
        <w:t xml:space="preserve">testing facilities are reasonably available. More than casual use of</w:t>
      </w:r>
      <w:r>
        <w:t xml:space="preserve"> </w:t>
      </w:r>
      <w:r>
        <w:t xml:space="preserve">University facilities for outside consulting work is discouraged.</w:t>
      </w:r>
      <w:r>
        <w:t xml:space="preserve"> </w:t>
      </w:r>
      <w:r>
        <w:t xml:space="preserve">Where the Department Head believes that such use is justified, the</w:t>
      </w:r>
      <w:r>
        <w:t xml:space="preserve"> </w:t>
      </w:r>
      <w:r>
        <w:t xml:space="preserve">Director of Research Administration must be consulted and a formal</w:t>
      </w:r>
      <w:r>
        <w:t xml:space="preserve"> </w:t>
      </w:r>
      <w:r>
        <w:t xml:space="preserve">contract should be entered into between the University and the client</w:t>
      </w:r>
      <w:r>
        <w:t xml:space="preserve"> </w:t>
      </w:r>
      <w:r>
        <w:t xml:space="preserve">to be sure that appropriate charges are made. Modest use of special</w:t>
      </w:r>
      <w:r>
        <w:t xml:space="preserve"> </w:t>
      </w:r>
      <w:r>
        <w:t xml:space="preserve">campus facilities should compensate the Department for such use.</w:t>
      </w:r>
    </w:p>
    <w:p>
      <w:pPr>
        <w:pStyle w:val="BodyText"/>
      </w:pPr>
      <w:r>
        <w:t xml:space="preserve">In all work with industry, arrangements should be made with the</w:t>
      </w:r>
      <w:r>
        <w:t xml:space="preserve"> </w:t>
      </w:r>
      <w:r>
        <w:t xml:space="preserve">sponsor to permit adequate publication of results, where appropriate,</w:t>
      </w:r>
      <w:r>
        <w:t xml:space="preserve"> </w:t>
      </w:r>
      <w:r>
        <w:t xml:space="preserve">without jeopardizing the proprietary interests of the sponsor.</w:t>
      </w:r>
    </w:p>
    <w:p>
      <w:pPr>
        <w:pStyle w:val="Heading3"/>
      </w:pPr>
      <w:bookmarkStart w:id="22" w:name="endorsements-and-letterhead"/>
      <w:r>
        <w:t xml:space="preserve">Endorsements and Letterhead</w:t>
      </w:r>
      <w:bookmarkEnd w:id="22"/>
    </w:p>
    <w:p>
      <w:pPr>
        <w:pStyle w:val="FirstParagraph"/>
      </w:pPr>
      <w:r>
        <w:t xml:space="preserve">The University letterhead is not to be used for promotion of one's own</w:t>
      </w:r>
      <w:r>
        <w:t xml:space="preserve"> </w:t>
      </w:r>
      <w:r>
        <w:t xml:space="preserve">business interests or for any purposes other than University business.</w:t>
      </w:r>
    </w:p>
    <w:p>
      <w:pPr>
        <w:pStyle w:val="Heading2"/>
      </w:pPr>
      <w:bookmarkStart w:id="23" w:name="ii.-summer-supplemental-salary"/>
      <w:r>
        <w:t xml:space="preserve">II. Summer Supplemental Salary</w:t>
      </w:r>
      <w:bookmarkEnd w:id="23"/>
    </w:p>
    <w:p>
      <w:pPr>
        <w:pStyle w:val="FirstParagraph"/>
      </w:pPr>
      <w:r>
        <w:t xml:space="preserve">(Modified,</w:t>
      </w:r>
      <w:r>
        <w:t xml:space="preserve"> </w:t>
      </w:r>
      <w:r>
        <w:rPr>
          <w:i/>
        </w:rPr>
        <w:t xml:space="preserve">April 14, 2011</w:t>
      </w:r>
      <w:r>
        <w:t xml:space="preserve"> </w:t>
      </w:r>
      <w:r>
        <w:t xml:space="preserve">and</w:t>
      </w:r>
      <w:r>
        <w:t xml:space="preserve"> </w:t>
      </w:r>
      <w:r>
        <w:rPr>
          <w:i/>
        </w:rPr>
        <w:t xml:space="preserve">October 14, 2011</w:t>
      </w:r>
      <w:r>
        <w:t xml:space="preserve">)</w:t>
      </w:r>
    </w:p>
    <w:p>
      <w:pPr>
        <w:pStyle w:val="Heading3"/>
      </w:pPr>
      <w:bookmarkStart w:id="24" w:name="support-provided-by-institute-funds"/>
      <w:r>
        <w:t xml:space="preserve">Support Provided by Institute Funds</w:t>
      </w:r>
      <w:bookmarkEnd w:id="24"/>
    </w:p>
    <w:p>
      <w:pPr>
        <w:pStyle w:val="FirstParagraph"/>
      </w:pPr>
      <w:r>
        <w:t xml:space="preserve">Compensation for summer academic activities (including independent</w:t>
      </w:r>
      <w:r>
        <w:t xml:space="preserve"> </w:t>
      </w:r>
      <w:r>
        <w:t xml:space="preserve">study courses, project work and thesis advising) and summer</w:t>
      </w:r>
      <w:r>
        <w:t xml:space="preserve"> </w:t>
      </w:r>
      <w:r>
        <w:t xml:space="preserve">educational youth programs (e.g., Frontiers, STRIVE, and GEMS) will be</w:t>
      </w:r>
      <w:r>
        <w:t xml:space="preserve"> </w:t>
      </w:r>
      <w:r>
        <w:t xml:space="preserve">paid on a lump sum basis. Payment will be made on the last business</w:t>
      </w:r>
      <w:r>
        <w:t xml:space="preserve"> </w:t>
      </w:r>
      <w:r>
        <w:t xml:space="preserve">day of the month in which the activity ends. These will be</w:t>
      </w:r>
      <w:r>
        <w:t xml:space="preserve"> </w:t>
      </w:r>
      <w:r>
        <w:t xml:space="preserve">coordinated by the Summer Programs Office.</w:t>
      </w:r>
    </w:p>
    <w:p>
      <w:pPr>
        <w:pStyle w:val="BodyText"/>
      </w:pPr>
      <w:r>
        <w:t xml:space="preserve">Payroll Authorization forms should be submitted to the Provost's</w:t>
      </w:r>
      <w:r>
        <w:t xml:space="preserve"> </w:t>
      </w:r>
      <w:r>
        <w:t xml:space="preserve">office by the respective Department Head for faculty assigned</w:t>
      </w:r>
      <w:r>
        <w:t xml:space="preserve"> </w:t>
      </w:r>
      <w:r>
        <w:t xml:space="preserve">administrative summer responsibilities (e.g., Acting Head, etc.).</w:t>
      </w:r>
    </w:p>
    <w:p>
      <w:pPr>
        <w:pStyle w:val="BodyText"/>
      </w:pPr>
      <w:r>
        <w:t xml:space="preserve">First- or second-year faculty members scheduled to receive summer</w:t>
      </w:r>
      <w:r>
        <w:t xml:space="preserve"> </w:t>
      </w:r>
      <w:r>
        <w:t xml:space="preserve">support should contact the Provost's office before June 1 of the</w:t>
      </w:r>
      <w:r>
        <w:t xml:space="preserve"> </w:t>
      </w:r>
      <w:r>
        <w:t xml:space="preserve">year(s) in which the summer support is to be paid.</w:t>
      </w:r>
    </w:p>
    <w:p>
      <w:pPr>
        <w:pStyle w:val="Heading3"/>
      </w:pPr>
      <w:bookmarkStart w:id="25" w:name="sponsored-researchrestricted-accounts"/>
      <w:r>
        <w:t xml:space="preserve">Sponsored Research/Restricted Accounts</w:t>
      </w:r>
      <w:bookmarkEnd w:id="25"/>
    </w:p>
    <w:p>
      <w:pPr>
        <w:pStyle w:val="FirstParagraph"/>
      </w:pPr>
      <w:r>
        <w:t xml:space="preserve">WPI policy allows faculty members with summer salary and employee</w:t>
      </w:r>
      <w:r>
        <w:t xml:space="preserve"> </w:t>
      </w:r>
      <w:r>
        <w:t xml:space="preserve">benefits budgeted on a sponsored project to receive supplemental</w:t>
      </w:r>
      <w:r>
        <w:t xml:space="preserve"> </w:t>
      </w:r>
      <w:r>
        <w:t xml:space="preserve">income.</w:t>
      </w:r>
    </w:p>
    <w:p>
      <w:pPr>
        <w:pStyle w:val="BodyText"/>
      </w:pPr>
      <w:r>
        <w:t xml:space="preserve">Monthly compensation for work performed during the summer will be paid</w:t>
      </w:r>
      <w:r>
        <w:t xml:space="preserve"> </w:t>
      </w:r>
      <w:r>
        <w:t xml:space="preserve">at the rate of 1/9 of the faculty member's regular academic year</w:t>
      </w:r>
      <w:r>
        <w:t xml:space="preserve"> </w:t>
      </w:r>
      <w:r>
        <w:t xml:space="preserve">salary.</w:t>
      </w:r>
    </w:p>
    <w:p>
      <w:pPr>
        <w:pStyle w:val="BodyText"/>
      </w:pPr>
      <w:r>
        <w:t xml:space="preserve">Authorization forms for summer salary to be charged to sponsored or</w:t>
      </w:r>
      <w:r>
        <w:t xml:space="preserve"> </w:t>
      </w:r>
      <w:r>
        <w:t xml:space="preserve">restricted accounts must be completed, approved by the Department</w:t>
      </w:r>
      <w:r>
        <w:t xml:space="preserve"> </w:t>
      </w:r>
      <w:r>
        <w:t xml:space="preserve">Head, and forwarded to the Provost's office before the 10th of the</w:t>
      </w:r>
      <w:r>
        <w:t xml:space="preserve"> </w:t>
      </w:r>
      <w:r>
        <w:t xml:space="preserve">month in which the salary is to be paid. Faculty members may indicate</w:t>
      </w:r>
      <w:r>
        <w:t xml:space="preserve"> </w:t>
      </w:r>
      <w:r>
        <w:t xml:space="preserve">whether or not pension (TIAA/CREF) contributions should be made and</w:t>
      </w:r>
      <w:r>
        <w:t xml:space="preserve"> </w:t>
      </w:r>
      <w:r>
        <w:t xml:space="preserve">charged to the grant.</w:t>
      </w:r>
    </w:p>
    <w:p>
      <w:pPr>
        <w:pStyle w:val="BodyText"/>
      </w:pPr>
      <w:r>
        <w:t xml:space="preserve">Please check with the Office of Sponsored Programs regarding any</w:t>
      </w:r>
      <w:r>
        <w:t xml:space="preserve"> </w:t>
      </w:r>
      <w:r>
        <w:t xml:space="preserve">restrictions on the total amount of supplemental pay allowed by a</w:t>
      </w:r>
      <w:r>
        <w:t xml:space="preserve"> </w:t>
      </w:r>
      <w:r>
        <w:t xml:space="preserve">particular contract or grant.</w:t>
      </w:r>
    </w:p>
    <w:p>
      <w:pPr>
        <w:pStyle w:val="Heading3"/>
      </w:pPr>
      <w:bookmarkStart w:id="26" w:name="compensation-limitations"/>
      <w:r>
        <w:t xml:space="preserve">Compensation Limitations</w:t>
      </w:r>
      <w:bookmarkEnd w:id="26"/>
    </w:p>
    <w:p>
      <w:pPr>
        <w:pStyle w:val="FirstParagraph"/>
      </w:pPr>
      <w:r>
        <w:t xml:space="preserve">WPI place no restriction on maximum faculty compensation. Additional</w:t>
      </w:r>
      <w:r>
        <w:t xml:space="preserve"> </w:t>
      </w:r>
      <w:r>
        <w:t xml:space="preserve">duties may receive additional compensation beyond the regular monthly</w:t>
      </w:r>
      <w:r>
        <w:t xml:space="preserve"> </w:t>
      </w:r>
      <w:r>
        <w:t xml:space="preserve">rate. However, faculty with sponsored research projects must comply</w:t>
      </w:r>
      <w:r>
        <w:t xml:space="preserve"> </w:t>
      </w:r>
      <w:r>
        <w:t xml:space="preserve">with limitations on compensation or "total effort" imposed by the</w:t>
      </w:r>
      <w:r>
        <w:t xml:space="preserve"> </w:t>
      </w:r>
      <w:r>
        <w:t xml:space="preserve">granting agency.</w:t>
      </w:r>
    </w:p>
    <w:p>
      <w:pPr>
        <w:pStyle w:val="BodyText"/>
      </w:pPr>
      <w:r>
        <w:t xml:space="preserve">Payment for teaching and research activities must be received as</w:t>
      </w:r>
      <w:r>
        <w:t xml:space="preserve"> </w:t>
      </w:r>
      <w:r>
        <w:t xml:space="preserve">salary. From time to time contributions may be made to faculty</w:t>
      </w:r>
      <w:r>
        <w:t xml:space="preserve"> </w:t>
      </w:r>
      <w:r>
        <w:t xml:space="preserve">members' professional development accounts but these deposits may not</w:t>
      </w:r>
      <w:r>
        <w:t xml:space="preserve"> </w:t>
      </w:r>
      <w:r>
        <w:t xml:space="preserve">be taken in place of salary. WPI does not contribute to faculty</w:t>
      </w:r>
      <w:r>
        <w:t xml:space="preserve"> </w:t>
      </w:r>
      <w:r>
        <w:t xml:space="preserve">pension plans for summer academic (non-research) activities.</w:t>
      </w:r>
    </w:p>
    <w:p>
      <w:pPr>
        <w:pStyle w:val="Heading2"/>
      </w:pPr>
      <w:bookmarkStart w:id="27" w:name="iii.-retirement-plan"/>
      <w:r>
        <w:t xml:space="preserve">III. Retirement Plan</w:t>
      </w:r>
      <w:bookmarkEnd w:id="27"/>
    </w:p>
    <w:p>
      <w:pPr>
        <w:pStyle w:val="FirstParagraph"/>
      </w:pPr>
      <w:r>
        <w:t xml:space="preserve">Faculty are required to participate in WPI's retirement plan on the</w:t>
      </w:r>
      <w:r>
        <w:t xml:space="preserve"> </w:t>
      </w:r>
      <w:r>
        <w:t xml:space="preserve">first day of the month following completion of twelve months of</w:t>
      </w:r>
      <w:r>
        <w:t xml:space="preserve"> </w:t>
      </w:r>
      <w:r>
        <w:t xml:space="preserve">continuous service, if in an eligible class of participants, and</w:t>
      </w:r>
      <w:r>
        <w:t xml:space="preserve"> </w:t>
      </w:r>
      <w:r>
        <w:t xml:space="preserve">working at least 1000 hours per calendar year. The waiting period</w:t>
      </w:r>
      <w:r>
        <w:t xml:space="preserve"> </w:t>
      </w:r>
      <w:r>
        <w:t xml:space="preserve">will be waived for anyone with one year of continuous service as a</w:t>
      </w:r>
      <w:r>
        <w:t xml:space="preserve"> </w:t>
      </w:r>
      <w:r>
        <w:t xml:space="preserve">non-student at any non-profit educational organization or teaching</w:t>
      </w:r>
      <w:r>
        <w:t xml:space="preserve"> </w:t>
      </w:r>
      <w:r>
        <w:t xml:space="preserve">hospital, or already participating in TIAA/CREF immediately prior to</w:t>
      </w:r>
      <w:r>
        <w:t xml:space="preserve"> </w:t>
      </w:r>
      <w:r>
        <w:t xml:space="preserve">the start of employment at WPI.</w:t>
      </w:r>
    </w:p>
    <w:p>
      <w:pPr>
        <w:pStyle w:val="BodyText"/>
      </w:pPr>
      <w:r>
        <w:t xml:space="preserve">Detailed information on WPI's Retirement Plan is available in the</w:t>
      </w:r>
      <w:r>
        <w:t xml:space="preserve"> </w:t>
      </w:r>
      <w:r>
        <w:t xml:space="preserve">"Summary Plan Description" available in the Human Resources office.</w:t>
      </w:r>
    </w:p>
    <w:sectPr w:rsidR="0029254A">
      <w:headerReference w:type="even" r:id="rId11"/>
      <w:headerReference w:type="default" r:id="rId10"/>
      <w:footerReference w:type="even" r:id="rId13"/>
      <w:footerReference w:type="default" r:id="rId12"/>
      <w:headerReference w:type="first" r:id="rId9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1044" w14:textId="77777777" w:rsidR="00140699" w:rsidRDefault="00140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E7A49" w14:textId="77777777" w:rsidR="00140699" w:rsidRPr="00140699" w:rsidRDefault="00140699">
    <w:pPr>
      <w:pStyle w:val="Footer"/>
      <w:tabs>
        <w:tab w:val="clear" w:pos="4680"/>
        <w:tab w:val="clear" w:pos="9360"/>
      </w:tabs>
      <w:jc w:val="center"/>
      <w:rPr>
        <w:caps/>
        <w:noProof/>
        <w:color w:val="C00000"/>
      </w:rPr>
    </w:pPr>
    <w:r w:rsidRPr="00140699">
      <w:rPr>
        <w:caps/>
        <w:color w:val="C00000"/>
      </w:rPr>
      <w:fldChar w:fldCharType="begin"/>
    </w:r>
    <w:r w:rsidRPr="00140699">
      <w:rPr>
        <w:caps/>
        <w:color w:val="C00000"/>
      </w:rPr>
      <w:instrText xml:space="preserve"> PAGE   \* MERGEFORMAT </w:instrText>
    </w:r>
    <w:r w:rsidRPr="00140699">
      <w:rPr>
        <w:caps/>
        <w:color w:val="C00000"/>
      </w:rPr>
      <w:fldChar w:fldCharType="separate"/>
    </w:r>
    <w:r w:rsidRPr="00140699">
      <w:rPr>
        <w:caps/>
        <w:noProof/>
        <w:color w:val="C00000"/>
      </w:rPr>
      <w:t>2</w:t>
    </w:r>
    <w:r w:rsidRPr="00140699">
      <w:rPr>
        <w:caps/>
        <w:noProof/>
        <w:color w:val="C00000"/>
      </w:rPr>
      <w:fldChar w:fldCharType="end"/>
    </w:r>
  </w:p>
  <w:p w14:paraId="06718001" w14:textId="77777777" w:rsidR="00140699" w:rsidRDefault="00140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DC80" w14:textId="77777777" w:rsidR="00140699" w:rsidRDefault="00140699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FF34" w14:textId="77777777" w:rsidR="00140699" w:rsidRDefault="00140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4034" w14:textId="77777777" w:rsidR="00140699" w:rsidRDefault="00140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99DD" w14:textId="77777777" w:rsidR="00140699" w:rsidRDefault="00140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D2DE"/>
    <w:multiLevelType w:val="multilevel"/>
    <w:tmpl w:val="E1622B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2106221618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toc 1" w:uiPriority="39"/>
    <w:lsdException w:name="toc 2" w:uiPriority="39"/>
    <w:lsdException w:name="toc 3" w:uiPriority="39"/>
    <w:lsdException w:name="footer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95145B"/>
    <w:pPr>
      <w:keepNext/>
      <w:keepLines/>
      <w:spacing w:before="480" w:after="0"/>
      <w:outlineLvl w:val="0"/>
    </w:pPr>
    <w:rPr>
      <w:rFonts w:ascii="Aptos" w:eastAsiaTheme="majorEastAsia" w:hAnsi="Aptos" w:cstheme="majorBidi"/>
      <w:color w:val="C00000"/>
      <w:sz w:val="40"/>
      <w:szCs w:val="40"/>
    </w:rPr>
  </w:style>
  <w:style w:type="paragraph" w:styleId="Heading2">
    <w:name w:val="heading 2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1"/>
    </w:pPr>
    <w:rPr>
      <w:rFonts w:ascii="Aptos" w:eastAsiaTheme="majorEastAsia" w:hAnsi="Aptos" w:cstheme="majorBidi"/>
      <w:color w:val="C00000"/>
      <w:sz w:val="36"/>
      <w:szCs w:val="36"/>
    </w:rPr>
  </w:style>
  <w:style w:type="paragraph" w:styleId="Heading3">
    <w:name w:val="heading 3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2"/>
    </w:pPr>
    <w:rPr>
      <w:rFonts w:ascii="Aptos" w:eastAsiaTheme="majorEastAsia" w:hAnsi="Aptos" w:cstheme="majorBidi"/>
      <w:color w:val="C00000"/>
      <w:sz w:val="32"/>
      <w:szCs w:val="32"/>
    </w:rPr>
  </w:style>
  <w:style w:type="paragraph" w:styleId="Heading4">
    <w:name w:val="heading 4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3"/>
    </w:pPr>
    <w:rPr>
      <w:rFonts w:ascii="Aptos" w:eastAsiaTheme="majorEastAsia" w:hAnsi="Aptos" w:cstheme="majorBidi"/>
      <w:iCs/>
      <w:color w:val="C00000"/>
      <w:sz w:val="28"/>
      <w:szCs w:val="28"/>
    </w:rPr>
  </w:style>
  <w:style w:type="paragraph" w:styleId="Heading5">
    <w:name w:val="heading 5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4"/>
    </w:pPr>
    <w:rPr>
      <w:rFonts w:ascii="Aptos" w:eastAsiaTheme="majorEastAsia" w:hAnsi="Aptos" w:cstheme="majorBidi"/>
      <w:iCs/>
      <w:color w:val="C00000"/>
    </w:rPr>
  </w:style>
  <w:style w:type="paragraph" w:styleId="Heading6">
    <w:name w:val="heading 6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5"/>
    </w:pPr>
    <w:rPr>
      <w:rFonts w:ascii="Aptos" w:eastAsiaTheme="majorEastAsia" w:hAnsi="Aptos" w:cstheme="majorBidi"/>
      <w:color w:val="C00000"/>
      <w:sz w:val="20"/>
      <w:szCs w:val="20"/>
    </w:rPr>
  </w:style>
  <w:style w:type="paragraph" w:styleId="Heading7">
    <w:name w:val="heading 7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6"/>
    </w:pPr>
    <w:rPr>
      <w:rFonts w:ascii="Aptos" w:eastAsiaTheme="majorEastAsia" w:hAnsi="Aptos" w:cstheme="majorBidi"/>
      <w:color w:val="C00000"/>
      <w:sz w:val="22"/>
      <w:szCs w:val="22"/>
    </w:rPr>
  </w:style>
  <w:style w:type="paragraph" w:styleId="Heading8">
    <w:name w:val="heading 8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7"/>
    </w:pPr>
    <w:rPr>
      <w:rFonts w:ascii="Aptos" w:eastAsiaTheme="majorEastAsia" w:hAnsi="Aptos" w:cstheme="majorBidi"/>
      <w:color w:val="C00000"/>
      <w:sz w:val="22"/>
      <w:szCs w:val="22"/>
    </w:rPr>
  </w:style>
  <w:style w:type="paragraph" w:styleId="Heading9">
    <w:name w:val="heading 9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8"/>
    </w:pPr>
    <w:rPr>
      <w:rFonts w:ascii="Aptos" w:eastAsiaTheme="majorEastAsia" w:hAnsi="Aptos" w:cstheme="majorBidi"/>
      <w:color w:val="C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95145B"/>
    <w:pPr>
      <w:keepNext/>
      <w:keepLines/>
      <w:spacing w:before="480" w:after="240"/>
    </w:pPr>
    <w:rPr>
      <w:rFonts w:ascii="Aptos" w:eastAsiaTheme="majorEastAsia" w:hAnsi="Aptos" w:cstheme="majorBidi"/>
      <w:color w:val="C00000"/>
      <w:sz w:val="56"/>
      <w:szCs w:val="56"/>
    </w:rPr>
  </w:style>
  <w:style w:type="paragraph" w:styleId="Subtitle">
    <w:name w:val="Subtitle"/>
    <w:basedOn w:val="Title"/>
    <w:next w:val="BodyText"/>
    <w:qFormat/>
    <w:rsid w:val="0095145B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95145B"/>
    <w:pPr>
      <w:keepNext/>
      <w:keepLines/>
    </w:pPr>
  </w:style>
  <w:style w:type="paragraph" w:styleId="Date">
    <w:name w:val="Date"/>
    <w:next w:val="BodyText"/>
    <w:qFormat/>
    <w:rsid w:val="0095145B"/>
    <w:pPr>
      <w:keepNext/>
      <w:keepLines/>
    </w:pPr>
    <w:rPr>
      <w:rFonts w:ascii="Aptos" w:hAnsi="Aptos"/>
    </w:rPr>
  </w:style>
  <w:style w:type="paragraph" w:customStyle="1" w:styleId="Abstract">
    <w:name w:val="Abstract"/>
    <w:basedOn w:val="Normal"/>
    <w:next w:val="BodyText"/>
    <w:qFormat/>
    <w:rsid w:val="0095145B"/>
    <w:pPr>
      <w:keepNext/>
      <w:keepLines/>
      <w:spacing w:before="300" w:after="300"/>
    </w:pPr>
    <w:rPr>
      <w:rFonts w:ascii="Aptos" w:hAnsi="Aptos"/>
      <w:sz w:val="22"/>
      <w:szCs w:val="22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3B3BFC"/>
    <w:rPr>
      <w:rFonts w:ascii="Aptos" w:hAnsi="Aptos"/>
      <w:color w:val="C00000"/>
      <w:vertAlign w:val="superscript"/>
    </w:rPr>
  </w:style>
  <w:style w:type="character" w:styleId="Hyperlink">
    <w:name w:val="Hyperlink"/>
    <w:basedOn w:val="CaptionChar"/>
    <w:uiPriority w:val="99"/>
    <w:rsid w:val="003B3BFC"/>
    <w:rPr>
      <w:rFonts w:ascii="Aptos" w:hAnsi="Aptos"/>
      <w:color w:val="C00000"/>
    </w:rPr>
  </w:style>
  <w:style w:type="paragraph" w:styleId="TOCHeading">
    <w:name w:val="TOC Heading"/>
    <w:basedOn w:val="Heading1"/>
    <w:next w:val="BodyText"/>
    <w:uiPriority w:val="39"/>
    <w:unhideWhenUsed/>
    <w:qFormat/>
    <w:rsid w:val="0095145B"/>
    <w:pPr>
      <w:spacing w:before="240" w:line="259" w:lineRule="auto"/>
      <w:outlineLvl w:val="9"/>
    </w:pPr>
    <w:rPr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95145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514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95145B"/>
    <w:pPr>
      <w:spacing w:after="100"/>
      <w:ind w:left="480"/>
    </w:pPr>
  </w:style>
  <w:style w:type="paragraph" w:styleId="Header">
    <w:name w:val="header"/>
    <w:basedOn w:val="Normal"/>
    <w:link w:val="HeaderChar"/>
    <w:rsid w:val="001406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40699"/>
  </w:style>
  <w:style w:type="paragraph" w:styleId="Footer">
    <w:name w:val="footer"/>
    <w:basedOn w:val="Normal"/>
    <w:link w:val="FooterChar"/>
    <w:uiPriority w:val="99"/>
    <w:rsid w:val="001406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3.xml" /><Relationship Id="rId10" Type="http://schemas.openxmlformats.org/officeDocument/2006/relationships/header" Target="header2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footer" Target="footer1.xml" /><Relationship Id="rId14" Type="http://schemas.openxmlformats.org/officeDocument/2006/relationships/footer" Target="footer3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 Faculty Handbook:  Chapter Eight - Certain Policies on Faculty Benefits and Opportunities</dc:title>
  <dc:creator/>
  <cp:keywords/>
  <dcterms:created xsi:type="dcterms:W3CDTF">2025-04-13T11:30:00Z</dcterms:created>
  <dcterms:modified xsi:type="dcterms:W3CDTF">2025-04-13T11:30:00Z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